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B" w:rsidRPr="00FC761B" w:rsidRDefault="00FC761B" w:rsidP="00FC761B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</w:pPr>
      <w:r w:rsidRPr="00FC761B">
        <w:rPr>
          <w:rFonts w:ascii="Arial CYR" w:eastAsia="Times New Roman" w:hAnsi="Arial CYR" w:cs="Arial CYR"/>
          <w:b/>
          <w:bCs/>
          <w:caps/>
          <w:color w:val="FFFFFF"/>
          <w:sz w:val="27"/>
          <w:szCs w:val="27"/>
          <w:lang w:eastAsia="ru-RU"/>
        </w:rPr>
        <w:t>АРХИВ</w:t>
      </w:r>
      <w:r w:rsidRPr="00FC761B">
        <w:rPr>
          <w:rFonts w:ascii="Arial CYR" w:eastAsia="Times New Roman" w:hAnsi="Arial CYR" w:cs="Arial CYR"/>
          <w:b/>
          <w:bCs/>
          <w:caps/>
          <w:color w:val="FFFFFF"/>
          <w:sz w:val="27"/>
          <w:lang w:eastAsia="ru-RU"/>
        </w:rPr>
        <w:t> </w:t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2E5F30"/>
          <w:sz w:val="28"/>
          <w:szCs w:val="28"/>
          <w:lang w:eastAsia="ru-RU"/>
        </w:rPr>
        <w:drawing>
          <wp:inline distT="0" distB="0" distL="0" distR="0">
            <wp:extent cx="568960" cy="904875"/>
            <wp:effectExtent l="19050" t="0" r="2540" b="0"/>
            <wp:docPr id="1" name="Рисунок 1" descr="http://lit.1september.ru/2004/42/p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1september.ru/2004/42/pup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ПЕДАГОГИЧЕСКИЙ УНИВЕРСИТЕТ</w:t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Изучение русской поэзии второй половины XIX века</w:t>
      </w:r>
      <w:r w:rsidRPr="00FC761B">
        <w:rPr>
          <w:rFonts w:ascii="Verdana" w:eastAsia="Times New Roman" w:hAnsi="Verdana" w:cs="Times New Roman"/>
          <w:b/>
          <w:bCs/>
          <w:color w:val="2E5F30"/>
          <w:sz w:val="28"/>
          <w:lang w:eastAsia="ru-RU"/>
        </w:rPr>
        <w:t> </w:t>
      </w:r>
      <w:r w:rsidRPr="00FC761B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br/>
        <w:t>на уроках в 10-м классе</w:t>
      </w:r>
    </w:p>
    <w:p w:rsidR="00FC761B" w:rsidRPr="00FC761B" w:rsidRDefault="00FC761B" w:rsidP="00FC761B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Лектор Л.И. СОБОЛЕВ</w:t>
      </w:r>
    </w:p>
    <w:p w:rsidR="00FC761B" w:rsidRPr="00FC761B" w:rsidRDefault="00FC761B" w:rsidP="00FC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01.25pt;height:.4pt" o:hrpct="0" o:hrstd="t" o:hrnoshade="t" o:hr="t" fillcolor="#006c00" stroked="f"/>
        </w:pict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План лекций по курсу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2"/>
        <w:gridCol w:w="7313"/>
      </w:tblGrid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№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Название лекции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1. Поэтический мир Тютчева.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2. Поэтика Тютчева.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3. Жизнь и поэзия Фета.</w:t>
            </w: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Контрольная работа № 1 (срок выполнения - до 15 ноября 2004 г.)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4. Основные мотивы лирики Некрасова.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5. Поэтическое новаторство Некрасова.</w:t>
            </w: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Контрольная работа № 2 (срок выполнения - до 15 декабря 2004 г.)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6. Поэзия А.К. Толстого.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7. Путь Я.П. Полонского.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 8. К.Случевский - предтеча поэзии XX века.</w:t>
            </w:r>
          </w:p>
        </w:tc>
      </w:tr>
      <w:tr w:rsidR="00FC761B" w:rsidRPr="00FC761B" w:rsidTr="00FC7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61B" w:rsidRPr="00FC761B" w:rsidRDefault="00FC761B" w:rsidP="00FC76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76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</w:tr>
    </w:tbl>
    <w:p w:rsidR="00FC761B" w:rsidRPr="00FC761B" w:rsidRDefault="00FC761B" w:rsidP="00FC761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Лекция 5. Поэтическое новаторство Некрасова</w:t>
      </w:r>
    </w:p>
    <w:p w:rsidR="00FC761B" w:rsidRPr="00FC761B" w:rsidRDefault="00FC761B" w:rsidP="00FC761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007100"/>
          <w:sz w:val="20"/>
          <w:lang w:eastAsia="ru-RU"/>
        </w:rPr>
        <w:t xml:space="preserve">Город в поэзии Некрасова. Любовная лирика Некрасова. Религиозные мотивы в поэзии Некрасова. Фольклор </w:t>
      </w:r>
      <w:proofErr w:type="gramStart"/>
      <w:r w:rsidRPr="00FC761B">
        <w:rPr>
          <w:rFonts w:ascii="Verdana" w:eastAsia="Times New Roman" w:hAnsi="Verdana" w:cs="Times New Roman"/>
          <w:b/>
          <w:bCs/>
          <w:color w:val="007100"/>
          <w:sz w:val="20"/>
          <w:lang w:eastAsia="ru-RU"/>
        </w:rPr>
        <w:t>в</w:t>
      </w:r>
      <w:proofErr w:type="gramEnd"/>
      <w:r w:rsidRPr="00FC761B">
        <w:rPr>
          <w:rFonts w:ascii="Verdana" w:eastAsia="Times New Roman" w:hAnsi="Verdana" w:cs="Times New Roman"/>
          <w:b/>
          <w:bCs/>
          <w:color w:val="007100"/>
          <w:sz w:val="20"/>
          <w:lang w:eastAsia="ru-RU"/>
        </w:rPr>
        <w:t xml:space="preserve"> «Кому на Руси жить хорошо».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Город в поэзии Некрасова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Начать эту тему стоит с предложения ученикам подготовить материал к ней, то есть найти стихотворения и поэмы, в которых есть изображение города (проза, очевидно, в тему не входит, хотя при желании можно использовать на уроке фрагменты романа «Жизнь и похождения Тихона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Тростникова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»; параллели со стихами см., например, в начале главы III третьей части романа: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Т. 8.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250).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этом желателен хотя бы минимальный комментарий — ученик должен уметь объяснить, почему он выбрал то или иное произведение и что в нём имеет отношение к теме. Это уточнение задания важно — скажем, ученик предлагает включить в тему стихотворение «В столицах шум, гремят витии…» или «За городом»; прямого изображения города в них 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нет (или почти нет), но есть явное противопоставление города и деревни, что, наверное, существенно для нашей темы.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Общей работы, в которой бы содержались основные тезисы к нашей теме, я назвать не могу — разве статья В.Я. Брюсова «Некрасов как поэт города». Главная мысль В.Я. Брюсова состоит в том, что Некрасов не мог — даже против воли — не почувствовать и не передать “своеобразную красоту города”.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“Он сделал это не как фотограф, снимающий на своих пластинках всё, что «подвёртывается» под аппарат, но как художник-горожанин, сам живущий одной жизнью с современным городом, глубоко понявший его жуткое, магнетическое очарование”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Брюсов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186, 188).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Пойдём по порядку, то есть по хронологии, отмечая основные тезисы к нашей теме — собственно, так и стоит делать на уроке. Разумеется, у вас должен быть свой — заранее приготовленный — материал, дополняющий и поправляющий то, что сделали дома ученики.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Первое стихотворение — «Новости» (газетный фельетон). Мы уже знаем о жанровом своеобразии лирики Некрасова и легко вспомним, что предполагает фельетон как жанр. В ироническом фельетоне поэт обозревает “важнейшие” события петербургской жизни: “остался некто без пяти в червях”, в моду вошли жилеты “из чёрного французского трико”, “почтенный муж шестидесяти лет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Ж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енился на девице в девятнадцать” и т.п. Отметим специально “восторженного поэта” (этот фрагмент можно понять и как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автоиронию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совсем недавно восторженные “гремучие стихи” печатал сам Некрасов), отметим и множество скрытых и явных цитат: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“Маскарад и бал” напоминают о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грибоедовской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комедии (вообще, сатирическая интонация «Новостей» заставляет вспомнить о «Горе от ума»); рассуждение о “наших русских мотивах” похоже на замечание автора «Домика в Коломне» (“От ямщика до первого поэта, // Мы все поём уныло.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Грустный вой // Песнь русская”); “и в действии пустом кипящий ум” — слегка изменённые строки из 7-й главы «Евгения Онегина» (“С его озлобленным умом, // Кипящим в действии пустом”)… Здесь показать “чужие строки” у Некрасова — почти самоцель; но далее можно будет говорить об отношении поэта к пушкинскому и гоголевскому Петербургу.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словом, “обеды, карты, дребезжанье чаш, // Визиты, поздравленья и разводы — // Вот наша жизнь” (не оставьте без уточнения слово “разводы” — это расстановка караулов, а не то, о чём подумали наши школьники).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и первый (всего лишь по порядку обсуждения) тезис к нашему плану-конспекту: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пустота, суетность, маскарад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городской (петербургской) жизни.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этом говорится и в «Убогой и нарядной», и в «Русских женщинах» (княгиня Трубецкая говорит о свете: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“Что там найду я? Ханжество, // Поруганную честь, // Нахальной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дряни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торжество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 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подленькую месть”).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Следующее стихотворение — шедевр Некрасова «Еду ли ночью по улице тёмной…» (“Таких, как эти две строки Некрасова, — писал В.В. Розанов, цитируя начало стихотворения, — нет ещё во всей русской литературе”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Р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озанов 1990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С. 45.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Обращаю внимание на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розановское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отношение к поэту — см. его статьи в: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Розанов 1995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Отметим, что в лирике нашего поэта нередко присутствует сюжет — это важная черта некрасовской поэзии, сближающая её с прозой.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Причём важно, что сюжет этого стихотворения — судьба женщины в большом городе; здесь важны социальные мотивы: бедный отец, бедность героев, вынуждающих женщину к роковому поступку, “нищета горемычная”… Сам выбор героев — разночинцев, городских бедняков, падшей женщины, людей неблагополучных — “бедных людей”, говоря словами Достоевского, был характерен для литературы того времени.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Некрасова контрасты Петербурга подчёркнуты — так, в «Говоруне» сказано: “Столица наша чудная // Богата через край, // Житьё в ней нищим трудное, // Миллионерам — рай”. Не менее важно и то,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как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изображён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город: “улица тёмная”, “буря”, “пасмурный день”, “труб заунывные звуки” (Б.Ш. Окуджава вставит четыре строчки этого стихотворения в свой роман «Путешествие дилетантов»), “брызги дождя, полусвет, полутьма”… Пасмурным останется Петербург и в других стихах Некрасова, и в поэме «Несчастные».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падшей женщины составит содержание стихотворений «Утро» и «Убогая и нарядная». «Утро» было напечатано в «Отечественных записках» (1874, № 2). Романист и критик В.Г.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Авсеенко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сравнил его с полицейским «Дневником происшествий» — в пользу последнего по части логичности и по части хорошего тона. Сообщая “о каком-нибудь случае, в котором фигурирует проститутка, составитель дневника всегда обнаруживает настолько чувства приличия, что, говоря по необходимости о проститутке, не говорит о постели, а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Некрасов &lt;...&gt; рассказывает читателям «Отечественных записок», как</w:t>
      </w:r>
    </w:p>
    <w:p w:rsidR="00FC761B" w:rsidRPr="00FC761B" w:rsidRDefault="00FC761B" w:rsidP="00FC761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Проститутка домой на рассвете</w:t>
      </w:r>
      <w:proofErr w:type="gram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оспешает, оставив постель”.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Следует вопрос: “Зачем,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Некрасов, вы это рассказываете? Право, публика наша могла бы обойтись и без этих картин, а поэзия тем более...” (Русский мир. 1874. № 78). А в «Убогой и нарядной» две истории при всём их несходстве поданы именно как характеристика города с его “улицей роскоши, моды, // Офицеров, лореток и бар”; “днём и ночью на ней маскарад” и гуляют “пустоты вековой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наследственной праздности дети”.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могу продолжать последовательный разбор стихотворений и мотивов, иначе вся эта лекция будет посвящена одной теме. Ограничусь конспективным изложением важнейших тезисов, относящихся к некрасовскому Петербургу.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вступлении к теме (то есть в обосновании её) следует, наверное, вспомнить о личном опыте Некрасова, семнадцатилетним юношей оказавшегося в большом городе без денег, без жилья, без службы. Кроме того, к середине 1840-х годов в русской литературе уже отчётливо существовала традиция восприятия столицы Российской империи — пушкинский и гоголевский Петербург входили в сознание читающей публики.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диалога Некрасова и Пушкина мы и начнём основную часть нашей темы. Здесь нам понадобятся две поэмы: «Несчастные» и «Русские женщины». Поговорим о первой из них.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“О город, город роковой! // С певцом твоих громад красивых, // Твоей ограды вековой, // Твоих солдат, коней ретивых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всей потехи боевой, // Пленённый лирой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сладкострунной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// Не спорю я: прекрасен ты // В безмолвье полночи безлунной, // В движенье гордой суеты!”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экономии места не привожу параллельных строк из Пушкина — надеюсь, читатель с «Онегиным» и «Медным Всадником» в руках сам сможет это сделать. А на уроке это стоит сделать вместе с учениками. И, конечно, Некрасов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спорит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Пушкиным — недаром здесь появляются “необозримые кладбища”, сквозной мотив петербургской (и не только петербургской) поэзии Некрасова.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“Громкие могилы” “посреди могил немых”, “покойник”, что “до пышных дожил похорон”, “дроги пустые” весело бегут “с похорон обратно” и сам город “опоясан гробами”.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Гробок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«Утро», «Утренняя прогулка» — вот лишь некоторые стихотворения, в которых мотив смерти, похорон, самоубийства составляют важнейший план содержания. И контраст, явленный в прозе Достоевского — между “приютами нищеты печальной” и “залами бальными”, “где торжествует суета”, то есть между городом бедных людей и пышным Петербургом богачей, — встретим у Некрасова не однажды (вплоть до «Размышлений у парадного подъезда», где перед нами подъезд важного сановника, и «Современников» — сатирической энциклопедии Петербурга).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“Маленький человек”, затерянный в большом городе, — тема «Станционного смотрителя» (Самсон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Петербурге в поисках дочери) и «Медного Всадника». От Пушкина она перешла к Гоголю — в «Шинели» всё мельче, чем в «Медном Всаднике». “Три главных действующих лица поэмы — «маленький человек», государство и стихия — в «Шинели», как давно уже было замечено, приобретают совсем другой вид: место государства, безжалостного к «маленькому» человеку, но у Пушкина всё же имеющего свою правду, — это место у Гоголя занимает чиновник, руководимый в своих действиях мелочным тщеславием. Город теряет свою красоту; у Гоголя здесь появляются конкретные приметы города бедняков: помои, которые выливают из окон,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вонючие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лестницы — всё это потом мы найдём у Достоевского.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Стихия тоже теряет поэтичность: у Пушкина была Нева — подчёркнуто живая, похожая то на бредящего человека, то на коня, то на разбойников; у Гоголя — ветер и мертвящий холод, холод фантастический, вечный, как отмечалось исследователями, продолжающийся чуть ли не круглый год”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Зыкова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45).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тему холода подхватит Некрасов и сделает её центральной во второй части цикла «О погоде». Стихотворение «Крещенские морозы» открывается диалогом чиновников — коротенькой сценкой, излюбленным жанром Некрасова (вспомним любое из четырёх стихотворений цикла «На улице»). Некрасовское внимание к факту вовсе не исключает гиперболы; Н.Н. Страхов, процитировав строки “На пространстве пяти саженей // Насчитаешь наверно до сотни // Отмороженных щёк и ушей”, заметил, что эта шутка “выражает не действительность, а настроение автора. Эти жёлчные гиперболы нравятся читателям, находящимся в таком же настроении, например, многим жителям Петербурга, о котором иногда можно почти вправду сказать:</w:t>
      </w:r>
    </w:p>
    <w:p w:rsidR="00FC761B" w:rsidRPr="00FC761B" w:rsidRDefault="00FC761B" w:rsidP="00FC761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В целом городе нет человека</w:t>
      </w:r>
      <w:proofErr w:type="gram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br/>
        <w:t>В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ком бы желчь не кипела ключом”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Страхов 1875.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190).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Впрочем, Страхов в специальной статье настойчиво повторял, что Некрасов “поэт чисто петербургский”, что “он носит на себе все характерные черты нашей северной Пальмиры”, что он “её духовное детище”.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всегда у Некрасова, социальный аспект всего заметнее и в «Крещенских морозах»: от холода гибнут бедные петербуржцы (“Часовой ли замёрзнет, бедняга, // Или Ванька, уснувший в санях”), и “песня” бедняков («Уходи из подвалов сырых…») заставляет вспомнить замечание С.А. Андреевского о некрасовском анапесте: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“Этот облюбованный Некрасовым ритм, напоминающий вращательное движение шарманки, позволял держаться на границах поэзии и прозы, балагурить с толпою, говорить складно и вульгарно, вставлять весёлую и злую шутку, высказывать горькие истины и незаметно, замедляя такт более торжественными словами, переходить в витийство &lt;…&gt; Таким способом Некрасов сохранил внимание к стихам в своё трудное время…”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Андреевский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149).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опять смерти, похороны, “Нева гробницей громадной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берегах освещённых лежит”, рассуждения об участившихся параличах среди “довольных и сытых людей” 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макабрический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смех о хорошо сохраняющихся в мороз покойниках — но и здесь: “Бедняки пускай осенью мрут, // Потому что за яму могильную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двое больше в морозы берут”.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Некрасов, прекрасно сознающий своё место в современной ему литературе, пишет: “Наша Муза парит невысоко, // Но мы пишем не лёгкий сонет, // Наше дело исчерпать глубоко // Воспеваемый нами предмет”. Это, конечно, ирония. И направлена она против “эстетов”, не признающих в поэзии новых, непривычных, “прозаических” тем и мотивов.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стихотворении «Кому холодно, кому жарко!», составившем вместе с «Крещенскими морозами» вторую часть цикла «О погоде», мельком упоминается безобразие летнего города, с которым контрастирует красота зимнего Петербурга.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Теперь посмотрим (по необходимости бегло) первую часть цикла. В первом стихотворении («Утренняя прогулка») “Начинается день безобразный — // Мутный, ветреный, тёмный и грязный” — частый у Некрасова колорит города; главная тема — похороны, тоже уже отмеченный нами постоянный мотив.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втором стихотворении («До сумерек») среди множества “жестоких сцен”, замеченных поэтом, есть знаменитая сцена избиения лошади, перекликающаяся с первым сном Раскольникова (см. подробнее: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Достоевский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Т. 7.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368–369).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Очень важен диалог с рассыльным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Минаем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здесь не только упоминается сам поэт, редактор «Современника», но подчёркнута связь Пушкина, первого издателя и редактора журнала, и самого Некрасова, равно страдавших от цензуры. Важен мотив болезни — и сам город ассоциируется с чем-то болезненным, ненормальным, ущербным, как и у Достоевского. И изображение “нашей улицы”, где “Начинают ни свет ни заря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С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вой ужасный концерт, припевая, // Токари, резчики, слесаря”, где “дикий крик продавца-мужика” смешивается с “пронзительным воем” шарманки, с “барабанным боем” идущих войск, с “понуканьем измученных кляч” — вот музыка улицы: “Словно цепи куют на несчастный народ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С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ловно город обрушиться хочет”.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заключение замечу, что цикл «О погоде» должен был стать частью крупного сатирического цикла, куда входят поэма «Недавнее время», стихотворения «Газетная» и «Балет» (см. подробнее: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Фролова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Любовная лирика Некрасова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 к теме готовим так же, как и к предыдущей (и любой другой) — то есть дети выбирают стихи (с минимальным комментарием) и потом эти стихи мы распределяем среди учеников. Вот примерный список стихотворений (не берём ранних, из сборника «Мечты и звуки»):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«Буря»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«Влюблённому»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«Где твоё личико смуглое…»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«Горящие письма»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«Да, наша жизнь текла мятежно…»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«Давно,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отвергнутый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тобою…»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«Еду ли ночью…»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«Если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мучимый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страстью мятежной…»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«Застенчивость»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«Зачем насмешливо ревнуешь…»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«Как ты кротка, как ты послушна…»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«Когда горит в твоей крови…»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«Когда из мрака заблужденья…»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«Мы с тобой бестолковые люди…»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«О, письма женщины, нам милой…»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«Письма»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Поражена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потерей невозвратной…»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«Прости»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«Прощанье»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Пускай мечтатели осмеяны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давно…»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«Слёзы и нервы»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«Так это шутка? Милая моя…»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«Три элегии»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«Ты всегда хороша несравненно…»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«Ты меня отослала далёко…»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«Тяжёлый год — сломил меня недуг…»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«Тяжёлый крест достался ей на долю…»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не люблю иронии твоей…»</w:t>
      </w:r>
    </w:p>
    <w:p w:rsidR="00FC761B" w:rsidRPr="00FC761B" w:rsidRDefault="00FC761B" w:rsidP="00FC761B">
      <w:pPr>
        <w:numPr>
          <w:ilvl w:val="0"/>
          <w:numId w:val="1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посетил твоё кладбище…»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тезисы к теме (в произвольном порядке, работа над планом — тоже часть работы на уроке или дома).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Можно отметить несколько стихотворений, в которых любовная тема дана вполне традиционно — здесь уместно вспомнить замечание Ю.М. Лотмана по поводу поведения Пушкина в любви и его любовной лирики: “Именно потому, что любовные отношения между людьми — область слишком ответственная, в которой незначительные оттенки выражения получают серьёзное значение, здесь особенно удобны и держатся дольше привычные, готовые,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ритуализованные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формулы и стилистические штампы.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Искреннее чувство Пушкина к А.П. Керн, когда его надо было выразить на бумаге, характерно трансформировалось в соответствии с условными формулами любовно-поэтического ритуала”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Лотман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129).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некоторые стихотворения — «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Пускай мечтатели осмеяны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давно…», «Ты всегда хороша несравненно…» (здесь главное — обновление и пробуждение в любви), «Три элегии» написаны вполне традиционно; в последнем цикле жанр элегии выдержан классически (в отличие от «Элегии» 1874 года).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Большая часть любовных стихов поэта — от «Если мучимый страстью мятежной…» (1847) до «Прости» (1856) составляют так называемый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панаевский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цикл.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Сравнивая стихи этого цикла с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тютчевскими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посвящёнными Е.А. Денисьевой, Н.Н. Скатов пишет, что “незаконный” характер любви ставил героев Тютчева и Некрасова “в положение необычное, кризисное”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131); при этом у Некрасова — в стихотворении «Когда горит в твоей крови…» (стихотворение появилось в составе романа «Три страны света», написанном вместе с А.Я. Панаевой) — это положение подаётся вполне в духе и, так сказать, в лексике времени (в частности, идей Жорж Санд):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“Постыдных, ненавистных уз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О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тринь насильственное бремя // И заключи — пока есть время — // Свободный, по сердцу союз“.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и у Тютчева, любовь у Некрасова почти никогда не бывает счастливой — почти всегда рядом ревность, “ужасные, жестокие, неправые упрёки”, “паденье”, “тоска”, “унынье”, “озлобленье” и “слёзы”.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Некрасова постоянно присутствует разлука, разрыв — то как предчувствие (“не торопи разлуки неизбежной, // И без того она недалека…”), то как уже свершившийся факт: «Да, наша жизнь текла мятежно…», «Давно — отвергнутый тобою…», «Ты меня отослала далёко…», «Где твоё личико смуглое…» и др.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Б.О.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Корман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видит в лирике Некрасова “социальное объяснение биографии и характеров героев” (</w:t>
      </w: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Корман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300).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значительной степени это так и есть: в «Еду ли ночью…», в «Застенчивости», в стихотворении «Когда из мрака заблужденья…» многое связано именно с социальными обстоятельствами персонажей (отметим особо тему падшей женщины и её возрождения, воскрешения — тему, присутствующую и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«Что делать?»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Н.Г. Чернышевского, и — полемически — в «Записках из подполья» и «Преступлении и наказании» Достоевского).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прав Н.Н. Скатов — в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панаевском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цикле нет “ни одного намёка” на социальные обстоятельства — есть близость к психологической изощрённости прозы Достоевского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131).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первом плане здесь — женский характер. “Как долго ты была сурова, // Как ты хотела верить мне,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//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и верила, и колебалась снова, // И как поверила вполне!”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(«Да, наша жизнь текла мятежно…») — это обращение к возлюбленной в разлуке с нею; “Пока ещё застенчиво и нежно // Свидание продлить желаешь ты” («Я не люблю иронии твоей…») сменяет “Лицо без мысли, полное смятенья, // Сухие, напряжённые глаза” женщины, потерявшей ребёнка («Поражена потерей невозвратной…»); “суровое, короткое и сухое письмо”, заставившее героя плакать, оказывается шуткой («Так это шутка?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Милая моя…»); в стихотворении «Тяжёлый крест достался ей на долю…» героиня “угнетена, пуглива и грустна”, но не может возразить на жестокие “язвительные речи” героя… Основной чертой героини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панаевского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цикла Н.Н. Скатов называет “мятежность”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133).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Традиционный мотив любовной лирики — воспоминание, обращение к прошлому; можно назвать стихотворение «Влюблённому» с “прошлым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счастием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(отметим пушкинскую ноту: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“За счастье сердца моего // Томим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боязнию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ревнивой, // Не допускал я никого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// В тайник души моей стыдливой”; «Давно, отвергнутый тобою…» (то же противопоставление прошлого счастья нынешнему одиночеству); «Еду ли ночью по улице тёмной…», «Прости», «Прощание» и, наконец, «Я посетил твоё кладбище…» с сожалением о прошлой и неоценённой любви (сравнение двух редакций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катов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126–128).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Стихотворение «Горящие письма» можно сравнить с пушкинским «Сожжённым письмом», а последние строки стихотворения «О, письма женщины, нам милой…» совпадают с окончанием стихотворения «Прощание», при жизни поэта не печатавшегося.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Некрасову принадлежит формула “проза любви”.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пишет Н.Н. Скатов, “эта проза состоит не в особой приверженности к быту, к дрязгам”; это “не романтический, но романический мир сложных, «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достоевских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страстей, ревности, самоутверждения 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самоугрызения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132).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Впрочем, в немногие стихи (например, в «Слёзы и нервы») попадает настоящая проза — “флакон”, “аппетит”, “рубли”, “трюмо” (вспомним и “портфель” с “печкой” из стихотворения «О, письма женщины, нам милой…»).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Несколько отдельных замечаний. Н.Н. Скатов обращает внимания на многоточия, которыми заканчиваются любовные стихи Некрасова.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“Это указание на фрагментарность, на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неисчерпанность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ситуации, на неразрешённость её”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132–133) превращает отдельное стихотворение в небольшую главку одного большого романа.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Вообще, основной сюжет главы «Ещё раз о “двух тайнах русской поэзии”» книги Н.Н.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Скатова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которую я неоднократно цитировал, составляет сравнение лирики Тютчева и Некрасова.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Интересное сопоставление двух поэтов можно найти в давней работе Г.А.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Гуковского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утверждавшего, что Тютчев в своей любовной лирике следует Некрасову (</w:t>
      </w: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Гуковский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.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53).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Стоит отдельного замечания и обращение поэта к народным формам — в стихотворении «Буря» (здесь возможно сопоставление двух редакций; см.: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Чуковский 1962.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305–310) и стихотворение «Где твоё личико смуглое…» (3Д с дактилическими окончаниями).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Религиозные мотивы в поэзии Некрасова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некоторых важнейших библейских и евангельских мотивах говорилось в предыдущей лекции.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мотив тернового венца, связанный с образом поэта и пророка, — мотив, имеющий в русской поэзии мощную традицию; этот же символ искупительной жертвы во имя людей более или менее явно присутствует в стихах о “сеятеле” (тоже евангельский образ, как и “учитель”) — эпитафиях Белинского, Добролюбова, Писарева, Шевченко.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жертве избранника во имя людей говорит стихотворение «Пророк» 1874 года, а одну строку из него (“Его послал Бог Гнева и Печали // Рабам земли напомнить о Христе”) Н.Н. Мостовская возводит к книге пророка Иеремии (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Иер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21, 5)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Мостовская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196).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 же рассматривает две “молитвы” Некрасова — стихотворение 1858 года «Ночь. Успели мы всем насладиться…» и «Молебен» (из «Последних песен»). Что касается первого названного стихотворения (1858 год), предоставляю судить читателю, насколько убедительно рассмотрение его как молитвы; для меня это стихотворение всегда было эпиграфом к некрасовской поэзии — даже в такую минуту его герой не может забыть о том, “Кто всё терпит во имя Христа…” и т.д.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Статья Н.Н. Мостовской посвящена храму в творчестве Некрасова; “Храм явлен в его поэзии как символ православной Руси с её многовековой культурой; как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отчего дома-родины, исторической памяти, вбирающей в себя прошлое и настоящее России”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198).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этой тематикой рассматривается и «Тишина», “самая загадочная поэма Некрасова, насыщенная религиозной символикой, реминисценциями из Священного Писания (тема Христа и Его заповедей, тема храма, притча о блудном сыне)”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199).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 заглавие поэмы понимается автором статьи как восходящее к Священному Писанию: оно включает в себя такие значения, как “нравственный покой”, “мир”, “человеческое единение”.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Поэма “пронизана не поэтизацией смирения, а верой в вековую народную мудрость и достоинство, не любованием красотами родной природы, а надеждой на её благодатную силу, необходимую смятенному, измученному сомнениями и мирским злом человеку”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199–200).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Отсылаю читателя к тексту статьи —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ценной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самой постановкой проблем, как бы не существовавших для советского литературоведения, выдвигавшего на первый план революционность Некрасова.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“Революционность 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православность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Некрасова не только не противопоставлены, но причудливым образом слиты в его творчестве”, — пишет В.И. Мельник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Мельник Типология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60).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Речь в статье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идёт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о революционном подвижничестве, об искупительной жертве — и о “покаянии в неумении принести жертву” («Умру я скоро…», «Человек сороковых годов» и др.)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Отсюда и образы праведников у Некрасова — кроме уже упомянутых “народных заступников” (Белинского, Добролюбова, Чернышевского — разумеется, в представлении поэта, а не реальных личностей) к ним, “апостолам, возвещающим новую правду старому миру” следует отнести и Гришу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Добросклонова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Песня Гришина («Средь мира дольного…») — “почти пересказ Евангелия от Матфея: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«Входите тесными вратами: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их» (гл. 7, ст. 13–14)”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61).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некрасовские подвижники, как замечает автор статьи, “действуют не во имя Христа. Это жертва не смирения, но бунта”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Интересна для урока тема «Грешники и праведники у Некрасова». В центре внимания поэта — кающийся грешник;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следует вспомнить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одноимённого стихотворения; В.И. Мельник соотносит сюжет этого стихотворения с житийной литературой: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бреду увидел ад, “что привело его к полному духовному перерождению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&lt;…&gt; П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еред нами несомненно поэтический вариант жития, в котором основа: грех — покаяние через тяжёлую, близкую к смерти болезнь — духовное воскресение”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62).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Сюжет раскаяния “великого грешника” лежит в основе «Легенды о двух великих грешниках» из поэмы «Кому на Руси жить хорошо».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М.М.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проследил связь «Легенды» с фольклорными источниками (</w:t>
      </w: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Гин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1971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215–242).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Здесь особенно заметно несовпадение некрасовского представления о грехе и искуплении с ортодоксальным христианством —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Кудеяр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получает прощение, совершив убийство.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“Некрасов произвёл весьма тонкую и целенаправленную подмену понятий, чтобы показать санкционированное самим Богом «благородное» убийство «по совести»”, — пишет В.И. Мельник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Мельник Проблема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132).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Дело в том, что, по Некрасову, грех — это грех против народного мира — поэтому грех Глеба-старосты, “иудин грех” — страшнее всего; то, что делается во имя народного мира, в его защиту — как бы прощается автором, не ставится в вину герою. Ещё один пример — Савелий, закопавший живым немца Фогеля; как видно из текста поэмы, он вовсе не считает себя грешным (“клеймёный, да не раб”, — “весело” отвечает он на упрёки сына). Но Савелий не душегуб — он, чувствуя свою вину за смерть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Дёмушки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идёт “на покаяние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Песочный монастырь”.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Способность к раскаянию — важнейшая черта некрасовских героев; очень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важен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Ермила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Гирин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готовый покончить с собой из-за сознания своего греха.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Существенно, что ни один помещик (кроме хозяина Якова верного, причитавшего “Грешен я, грешен!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Казните меня!”) не способен осознать свой грех и раскаяться.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 xml:space="preserve">Фольклор </w:t>
      </w:r>
      <w:proofErr w:type="gramStart"/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в</w:t>
      </w:r>
      <w:proofErr w:type="gramEnd"/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 xml:space="preserve"> «Кому на Руси жить хорошо»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Тема «Фольклорные мотивы у Некрасова» громадна; выберу лишь один её фрагмент — фольклорные традиции и источники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«Кому на Руси жить хорошо». Если у вас под рукой нет никаких специальных работ на эту тему, воспользуйтесь комментариями к пятому тому последнего академического собрания сочинений (комментарий к предшествующим томам даст вам материал для работы над стихотворениями и другими поэмами Некрасова).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обосновании темы отметим связь обращения к фольклору с самой темой поэмы — изображением народной жизни — и её жанром. Эпическая поэма, воссоздающая образ народной жизни в её полноте, неизбежно выражает народное мироощущение,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корнями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уходящее в фольклор, в народную культуру. Поэтому так органичны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фольклорные жанры в их многообразии — сказка и песня, загадка и причитание, свадебная песня и поговорки с пословицами.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в Прологе обнаруживается близость поэмы к фольклору, в частности к сказке о правде и кривде (в ней мужики, заспорив, как лучше жить — правдой или кривдой — идут спрашивать встречных на дороге); сказка эта напечатана в сборнике А.Н. Афанасьева, который Некрасов читал ещё в пору работы над поэмой «Мороз, Красный нос».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фольклора и зачин поэмы, и такие обороты, как “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Шли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долго ли, коротко ли…”, и число “семь”, и говорящая птичка, и скатерть-самобранка и прочее. То, что предупреждение птички-пеночки так и не реализовалось, лишний раз свидетельствует, по видимости, о незавершённости поэмы. Сами заглавия деревень могли быть подсказаны фольклором — в сборнике пословиц В.И. Даля приведена поговорка: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“Обыватель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Голодалкиной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волости, села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Обнищухина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90).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комментариях к «Кому…» в академическом собрании указаны и пословицы и поговорки Пролога (“Мужик, что бык…”, “Пташка малая, // А ноготок востёр!”), и загадки (про тень и про эхо), и фольклорная аллегория (“Сова — замоскворецкая // Княгиня…”)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Некрасов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5.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632–633).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и сам сюжетный мотив — человек помогает животному, а тот ему платит добром и выручает его в трудную минуту — легко обнаруживается в истории с птенчиком и птичкой-пеночкой.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мы собираем материал по разным частям поэмы — здесь и повторы (хотя бы зачин, повторяемый несколько раз мужиками-странниками), и сравнения (“Как ком земли отвалится, // Что на сохе присох”), и отрицательные сравнения (“Не ветры веют буйные, // Не мать земля колышется — Шумит, поёт, ругается, // Качается, валяется, // Дерётся 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цалуется</w:t>
      </w:r>
      <w:proofErr w:type="spellEnd"/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У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праздника народ!”), и приметы (встретить попа — не к добру), и формы слов (“покудова”), и обряды (свадебный, похоронный), и постоянные эпитеты — да и сам стих поэмы восходит к былине (трёхстопный ямб с мужскими и дактилическими окончаниями). Это — общая работа на уроке и дома, направляемая вопросами учителя и необходимыми комментариями.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Следующий этап работы (как правило, целиком приходящийся на учителя) — сравнение фольклорных источников и некрасовского текста. Здесь следует воспользоваться книгой К.И. Чуковского «Мастерство Некрасова», главой «Работа над фольклором». Отмечу два важных замечания автора книги: 1) Время работы поэта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Руси…» — это время расцвета русской фольклористики; в библиотеке Некрасова были все важнейшие сборники фольклорных материалов (см.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Ашукин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362); 2) “Когда мы ссылаемся на книжный источник тех или других его крестьянских стихов, мы не должны забывать, что и помимо книжных источников он мог заимствовать эти стихи из какой-нибудь песни, прибаутки, поговорки, пословицы, услышанной им либо в детстве, либо во время его деревенских скитаний”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Чуковский 1962.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426).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Некрасов, как и любой поэт, не только вводит в текст пословицы и поговорки, песни и сравнения, но трансформирует их. Простые примеры легко найти самим; скажем, у Даля есть загадка: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“Живёт без тела, говорит без языка, плачет без души, смеётся без радости; никто его не видит, а всяк слышит (отголосок)”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952).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Некрасова: “Никто его не видывал, // А слышать всякий слыхивал, // Без тела — а живёт оно, // Без языка — кричит!” Или другой пример, у Даля: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“Летит — молчит, сядет — молчит, а помрёт да сгниёт, так и заревёт (снег)”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953).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Некрасова эта загадка приобрела несколько иной вид: “Летит — молчит, лежит — молчит, // Когда умрёт, тогда ревёт”.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К.И. Чуковский отмечает некрасовскую дифференциацию фольклорных текстов — он приводит известные строки из поэмы, посвящённые «Весёлой» песне (“Ту песню — не народную — // Впервые спел сын Трифона, // Григорий вахлакам &lt;…&gt; Она по пьяным праздникам // Как плясовая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пелася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Попами и дворовыми, — // Вахлак её не пел…”) (см.: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Чуковский 1962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 434); правда, ничего специфически “дворового” — и вообще плохого — в этой песне нет; здесь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горькая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правда о народной жизни — недаром её впервые спел вахлакам Григорий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Добросклонов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 пословиц, собранных В.И. Далем, многие вошли в поэму — как считает К.И. Чуковский, “самые резкие”: “Они в котле кипеть, // А мы дрова подкладывать!” (ср.: “Знать, будем мы и на том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свете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бар служить: они будут в котле кипеть, а мы дрова подкладывать” —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С. 283) или “Хвали траву в стогу, // А барина — в гробу!” (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.: “Хвали рожь в стогу, а барина — в гробу!” —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715).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Современная поэту критика не поверила ему.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“Люди, мало-мальски знакомые с нашими крестьянами, — писал В.Г.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Авсеенко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поводу первой пословицы, — позволяют себе усомниться, чтоб их отношения к дворянам были до такой степени проникнуты злобною ненавистью, как это кажется г. Некрасову” (Русский вестник. 1874. № 7.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442).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«Крестьянка» вызвала критические нападки и у В.П. Буренина. Предмет осуждения — речь главной героини; она “полна quasi-народных оборотов, введённых у нас по преимуществу автором «Тройки» и «Огородника». Эта искусственная речь заключает в себе много фальшивого, деланного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простонародничанья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очень мало настоящего народного склада” (Санкт-Петербургские ведомости. 1874. № 26).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Много материала взял Некрасов у Е.В.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Барсова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собравшего «Причитанья Северного края» (Ч. I.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Плачи похоронные, надгробные и надмогильные).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Записал их Барсов у сказительницы Ирины Федосовой (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см.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</w:t>
      </w:r>
      <w:proofErr w:type="gram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уковский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1962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451–464).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К.И. Чуковский показывает, как работал Некрасов с источником — как из причитания Ирины Федосовой складывались строки проклятия, произнесённые Матрёной Корчагиной (“Падите мои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слёзоньки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Не на землю, не на воду, // Не на Господень храм!”). Сравнение двух текстов может быть чрезвычайно интересным и полезным сюжетом части урока на нашу тему.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Сопоставление фольклорного источника и некрасовского текста может быть полезным и в случае с песней, записанной П.И. Якушкиным (“Как свёкор говорит: «вот медведицу ведут!..»”), изменённоё поэтом: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“Свёкор батюшка — // Тот медведицей, // А свекровушка — //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Людоедицей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</w:t>
      </w: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Чуковский 1962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484–486).</w:t>
      </w:r>
      <w:proofErr w:type="gramEnd"/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Конкретная работа — сопоставление источника и поэтического текста, анализ тех или иных фольклорных мотивов — даст нашим ученикам ощущение настоящей исследовательской работы. А это ощущение — самое ценное, что может дать урок.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Список литературы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Андреевский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Андреевский С.А. Некрасов // Андреевский С.А. Литературные очерки. СПб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1913.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Ашукин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—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Ашукин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Н. Описание книг из библиотеки Некрасова // Литературное наследство. Т. 53/54. Н.А. Некрасов. III. М., 1949.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Брюсов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Брюсов В.Я. Некрасов как поэт города // Брюсов Валерий. Собр. соч.: В 7 т. Т. 6. М., 1975.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Гин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1971 —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 От факта к образу и сюжету. О поэзии Н.Н. Некрасова. М., 1971.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Гин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1985 —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М.М. Достоевский и Некрасов. Два мировосприятия. Петрозаводск, 1985.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Гуковский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—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Гуковский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Г.А. Некрасов и Тютчев // Некрасов Н.А. Статьи, материалы, рефераты и сообщения. Научный бюллетень Ленинградского университета. 1947. № 16–17. С. 51-54.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Даль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Пословицы русского народа. Сборник В.Даля. М., 1957.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Достоевский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Достоевский Ф.М. Полн. собр. соч.: В 30 т. Л., 1972–1990.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Зыкова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Зыкова Г.В. «Ночь перед Рождеством» и «Шинель» Н.В. Гоголя // Статьи о русской литературе. М., 1996.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Корман</w:t>
      </w:r>
      <w:proofErr w:type="spellEnd"/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 xml:space="preserve"> — 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Корман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Б.О. Лирика Некрасова. Воронеж, 1964.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Лотман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Лотман Ю.М. Александр Сергеевич Пушкин. Биография писателя. Л., 1982.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Мельник Типология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Мельник В.И. Типология житийных сюжетов у Некрасова // Некрасовский сборник. XIII. СПб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Мельник Проблема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Мельник В.И. «Кому на Руси жить хорошо»: проблема христианского сознания в поэме // Некрасовский сборник. XIII. СПб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Мостовская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Мостовская Н.Н. Храм в творчестве Некрасова // Русская литература. 1995. № 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Некрасов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Некрасов Н.А. Полн. собр. соч. и писем: В 15 т. Л., 1981–2000.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Розанов 1990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Розанов В.В. </w:t>
      </w:r>
      <w:proofErr w:type="gram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Уединённое</w:t>
      </w:r>
      <w:proofErr w:type="gram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Розанов В.В. О себе и жизни своей. М., 1990.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Розанов 1995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Розанов В.В. О писательстве и писателях. М., 1995.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Скатов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Скатов Н.Н. Некрасов: современники и продолжатели. М., 1986.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Страхов 1870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Страхов Н.Н. Некрасов и Полонский // Страхов Н. Заметки о Пушкине и других поэтах. Киев, 1897.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Страхов 1875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Страхов Н.Н. Об иронии в русской литературе // Страхов Н. Заметки о Пушкине и других поэтах. Киев, 1897.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Фролова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Фролова Т.Д. Незавершённый сатирический цикл Некрасова // Некрасовский сборник. I. М.–Л., 1951.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Times" w:eastAsia="Times New Roman" w:hAnsi="Times" w:cs="Times"/>
          <w:i/>
          <w:iCs/>
          <w:color w:val="000000"/>
          <w:lang w:eastAsia="ru-RU"/>
        </w:rPr>
        <w:t>Чуковский 1971 —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Чуковский Корней. Мастерство Некрасова. М., 1971.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Вопросы и задания для самопроверки</w:t>
      </w:r>
    </w:p>
    <w:p w:rsidR="00FC761B" w:rsidRPr="00FC761B" w:rsidRDefault="00FC761B" w:rsidP="00FC761B">
      <w:pPr>
        <w:numPr>
          <w:ilvl w:val="0"/>
          <w:numId w:val="2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Составьте план-конспект по теме «Петербург у Пушкина и Некрасова».</w:t>
      </w:r>
    </w:p>
    <w:p w:rsidR="00FC761B" w:rsidRPr="00FC761B" w:rsidRDefault="00FC761B" w:rsidP="00FC761B">
      <w:pPr>
        <w:numPr>
          <w:ilvl w:val="0"/>
          <w:numId w:val="2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Приготовьте разбор одного из стихотворений Некрасова, входящих в </w:t>
      </w:r>
      <w:proofErr w:type="spellStart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панаевский</w:t>
      </w:r>
      <w:proofErr w:type="spellEnd"/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цикл.</w:t>
      </w:r>
    </w:p>
    <w:p w:rsidR="00FC761B" w:rsidRPr="00FC761B" w:rsidRDefault="00FC761B" w:rsidP="00FC761B">
      <w:pPr>
        <w:numPr>
          <w:ilvl w:val="0"/>
          <w:numId w:val="2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проведёте урок, озаглавленный некрасовской цитатой: “Стиль, отвечающий теме”?</w:t>
      </w:r>
    </w:p>
    <w:p w:rsidR="00FC761B" w:rsidRPr="00FC761B" w:rsidRDefault="00FC761B" w:rsidP="00FC761B">
      <w:pPr>
        <w:numPr>
          <w:ilvl w:val="0"/>
          <w:numId w:val="2"/>
        </w:numPr>
        <w:spacing w:before="100" w:beforeAutospacing="1" w:after="100" w:afterAutospacing="1" w:line="240" w:lineRule="auto"/>
        <w:ind w:left="79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Постройте план вводной лекции (минут на 20) на тему «История печатания поэмы “Кому на Руси жить хорошо” (проблема текста)».</w:t>
      </w:r>
    </w:p>
    <w:p w:rsidR="00FC761B" w:rsidRPr="00FC761B" w:rsidRDefault="00FC761B" w:rsidP="00FC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4pt" o:hrstd="t" o:hrnoshade="t" o:hr="t" fillcolor="#007100" stroked="f"/>
        </w:pict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КОНТРОЛЬНАЯ РАБОТА № 2</w:t>
      </w:r>
    </w:p>
    <w:p w:rsidR="00FC761B" w:rsidRPr="00FC761B" w:rsidRDefault="00FC761B" w:rsidP="00FC761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«Изучение русской поэзии второй половины XIX века на уроках в 10-м классе»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слушатели повышения квалификации!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Контрольная работа № 2 представляет собой перечень заданий. Эта работа подготовлена по материалам четвёртой и пятой лекций. Оценка контрольной работы будет производиться по системе “зачёт/незачёт”. Для того чтобы работа была зачтена, необходимо правильно ответить не менее чем на 3 вопроса.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Выполненную контрольную работу, пожалуйста, отправьте в адрес Педагогического университета “Первое сентября” не позднее 15 декабря. Пожалуйста, используйте присланные вам почтовые этикетки, а в конверт вложите данный бланк или его ксерокопию.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 вас имеются вопросы по этой работе или по курсу в целом, пожалуйста, запишите их в поле «Комментарий». Вы получите ответы вместе с проверенной контрольной работой.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Фамилия*: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0040" cy="257810"/>
            <wp:effectExtent l="19050" t="0" r="0" b="0"/>
            <wp:docPr id="4" name="Рисунок 4" descr="http://lit.1september.ru/2004/42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.1september.ru/2004/42/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Имя*: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0040" cy="257810"/>
            <wp:effectExtent l="19050" t="0" r="0" b="0"/>
            <wp:docPr id="5" name="Рисунок 5" descr="http://lit.1september.ru/2004/42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.1september.ru/2004/42/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Отчество*: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0040" cy="257810"/>
            <wp:effectExtent l="19050" t="0" r="0" b="0"/>
            <wp:docPr id="6" name="Рисунок 6" descr="http://lit.1september.ru/2004/42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.1september.ru/2004/42/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Идентификатор:</w:t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9545" cy="257810"/>
            <wp:effectExtent l="19050" t="0" r="8255" b="0"/>
            <wp:docPr id="7" name="Рисунок 7" descr="http://lit.1september.ru/2004/42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.1september.ru/2004/42/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61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(указан в вашей персональной карточке)*</w:t>
      </w:r>
    </w:p>
    <w:p w:rsidR="00FC761B" w:rsidRPr="00FC761B" w:rsidRDefault="00FC761B" w:rsidP="00FC76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FC761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Задания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Проанализируйте стихотворение Некрасова «Железная дорога» — стихотворный размер, лексику, синтаксис, композицию стихотворения; сформулируйте основные мотивы этого стихотворения и укажите его связи с другими стихами поэта.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Сопоставьте стихотворение Некрасова «Поэзия» (1839) с другими стихотворениями, посвящёнными теме поэта; покажите полемику Некрасова со своими ранними стихами.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качестве задания классу выберите стихотворения Тютчева и Некрасова для сравнения; укажите подробно, что вы хотели бы получить в качестве результата работы.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качестве задания выберите стихотворения Фета и Некрасова для сравнения; укажите подробно, что вы хотели бы получить в качестве результата работы.</w:t>
      </w:r>
    </w:p>
    <w:p w:rsidR="00FC761B" w:rsidRPr="00FC761B" w:rsidRDefault="00FC761B" w:rsidP="00FC76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Выберите два-три фрагмента из наиболее подходящих, на ваш взгляд, работ о Некрасове для литературоведческого изложения.</w:t>
      </w:r>
    </w:p>
    <w:p w:rsidR="004A3CBF" w:rsidRDefault="00FC761B" w:rsidP="00FC761B">
      <w:pPr>
        <w:spacing w:before="100" w:beforeAutospacing="1" w:after="100" w:afterAutospacing="1" w:line="240" w:lineRule="auto"/>
      </w:pPr>
      <w:r w:rsidRPr="00FC76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Сделайте комментированный конспект одной из статей о Некрасове (А.А. Григорьева, А.В. Дружинина или др.).</w:t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933"/>
    <w:multiLevelType w:val="multilevel"/>
    <w:tmpl w:val="A63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6F2C"/>
    <w:multiLevelType w:val="multilevel"/>
    <w:tmpl w:val="600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C761B"/>
    <w:rsid w:val="004A3CBF"/>
    <w:rsid w:val="009C7992"/>
    <w:rsid w:val="00DD6DA1"/>
    <w:rsid w:val="00FC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61B"/>
  </w:style>
  <w:style w:type="character" w:styleId="a3">
    <w:name w:val="Strong"/>
    <w:basedOn w:val="a0"/>
    <w:uiPriority w:val="22"/>
    <w:qFormat/>
    <w:rsid w:val="00FC761B"/>
    <w:rPr>
      <w:b/>
      <w:bCs/>
    </w:rPr>
  </w:style>
  <w:style w:type="paragraph" w:styleId="a4">
    <w:name w:val="Normal (Web)"/>
    <w:basedOn w:val="a"/>
    <w:uiPriority w:val="99"/>
    <w:semiHidden/>
    <w:unhideWhenUsed/>
    <w:rsid w:val="00FC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76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1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9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3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5557</Words>
  <Characters>31678</Characters>
  <Application>Microsoft Office Word</Application>
  <DocSecurity>0</DocSecurity>
  <Lines>263</Lines>
  <Paragraphs>74</Paragraphs>
  <ScaleCrop>false</ScaleCrop>
  <Company>Microsoft</Company>
  <LinksUpToDate>false</LinksUpToDate>
  <CharactersWithSpaces>37161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2014-02-15T15:53:00Z</dcterms:modified>
</cp:coreProperties>
</file>