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E5F30"/>
          <w:sz w:val="26"/>
          <w:szCs w:val="26"/>
          <w:u w:val="single"/>
          <w:lang w:eastAsia="ru-RU"/>
        </w:rPr>
      </w:pPr>
      <w:r w:rsidRPr="00B8482E">
        <w:rPr>
          <w:rFonts w:ascii="Verdana" w:eastAsia="Times New Roman" w:hAnsi="Verdana" w:cs="Times New Roman"/>
          <w:b/>
          <w:bCs/>
          <w:color w:val="2E5F30"/>
          <w:sz w:val="26"/>
          <w:szCs w:val="26"/>
          <w:u w:val="single"/>
          <w:lang w:eastAsia="ru-RU"/>
        </w:rPr>
        <w:t>ШТУДИИ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B8482E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Татьяна ГОРБАТОВА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</w:pPr>
      <w:r w:rsidRPr="00B8482E"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  <w:t>“</w:t>
      </w:r>
      <w:proofErr w:type="spellStart"/>
      <w:r w:rsidRPr="00B8482E"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  <w:t>” в поэме Н.А. Некрасова</w:t>
      </w:r>
      <w:r w:rsidRPr="00B8482E">
        <w:rPr>
          <w:rFonts w:ascii="Verdana" w:eastAsia="Times New Roman" w:hAnsi="Verdana" w:cs="Times New Roman"/>
          <w:b/>
          <w:bCs/>
          <w:color w:val="2E5F30"/>
          <w:kern w:val="36"/>
          <w:sz w:val="40"/>
          <w:lang w:eastAsia="ru-RU"/>
        </w:rPr>
        <w:t> </w:t>
      </w:r>
      <w:r w:rsidRPr="00B8482E"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  <w:br/>
        <w:t>«Кому на Руси жить хорошо»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Прежде чем рассмотреть особенности употребления слова</w:t>
      </w:r>
      <w:r w:rsidRPr="00B8482E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8482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“</w:t>
      </w:r>
      <w:proofErr w:type="gramStart"/>
      <w:r w:rsidRPr="00B8482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MI</w:t>
      </w:r>
      <w:proofErr w:type="gramEnd"/>
      <w:r w:rsidRPr="00B8482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РЪ”</w:t>
      </w:r>
      <w:r w:rsidRPr="00B8482E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творчестве Некрасова, необходимо очертить круг его значений в фольклоре. Ценный для изучения этого понятия материал содержится в пословицах и поговорках, собранных Владимиром Далем.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сознании народа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соотносился с природными объектами (волной, горой, морем, омутом), обладающими такими признаками, как масштабность, сила, величие.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Кроме того, подобная параллель позволяет сделать вывод об изначальной данности, естественности и бесконечности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”. Такой порядок жизни существует издавна, он уже стал традицией и не подвластен времени, его мощь огромна, его возможности неисчерпаемы. Это подтверждается и другой группой примеров, в которой данный концепт самоценен и не нуждается в сравнении с природными началами: “У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животы и тонки, да долги”;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себя постоит”; “Кто больше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мiра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будет!”;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Мiра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перетянешь”.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одном из своих значений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противопоставлен пиру (“Богатый в пир, убогий в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”; “И в пир, и в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всё в одном”) и связан с идеей нищенства, юродства, странничества. Однако иногда эти понятия уподобляются друг другу: “В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мiру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что на пьяном пиру”; “В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мiру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как в пиру: всего много (и добра, и 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худа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)”. Здесь, видимо, находит своё выражение такая тема, как “многогранность, наличие как положительных, так и отрицательных качеств, противоречивость”. В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сосуществуют добро и зло, правда и ложь, он не идеален. Об этом свидетельствуют и другие иллюстрации (“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зле”; “На что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зинет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то и гинет” – о зависти).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Тем не 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менее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“жизни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мiром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”, конечно, есть свои нравственные ценности: терпимость, взаимопомощь, сострадание, человеколюбие (“С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мiру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нитке, голому рубаха”; “В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мiре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жить – с миром жить”; “Вали на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всё снесёт”).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наделён большой властью, над ним – только царь и Бог, люди же не вправе судить его. Человек осознаёт себя не свободной личностью, а частью общины, от воли которой он полностью зависит: 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“Где (что, как)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там (то, так) и мы”; “Как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то есть похочет,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поволит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порядит, поставит, приговорит”.</w:t>
      </w:r>
      <w:proofErr w:type="gramEnd"/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Достоинства и недостатки каждого индивида – это достоинства и недостатки всего коллектива (“На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виноватого не сыщешь”; “В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мiру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виноватого нет”). Грех одного человека распространяется на других членов общины: “Один вор всему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разоренье”; “Вор ворует, а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горюет”. В этих пословицах важен не их прямой смысл, а подтекст: плохо не столько то, что в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есть вор, сколько то, что в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мiре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есть воровство как порок, как зло.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Община не случайное собрание людей. Это чёткая система, которая действует по своим законам. Во главе её стоит староста (“И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без начальника”;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без старосты ватага”), но он выполняет лишь организующую функцию, власть же принадлежит большинству.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анализ вышеприведённого материала из словаря В.Даля показывает, что отношение человека (народа) к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может быть как уважительным, смиренным, так и ироничным – в любом случае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представляет собой очень важную, незыблемую жизненную реалию (о чём ярко свидетельствует, кроме всего прочего, количество примеров).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– знак определённого типа сознания, не индивидуалистического, а </w:t>
      </w: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коллективного, соборного (каждая личность воспринимается как часть целого, и только в этом контексте она имеет ценность).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Принципы “жизни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ром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”, её идеалы оказываются очень близки стремлениям Некрасова. Это ярко отражает его переписка с Тургеневым, Боткиным, Толстым. Проявляется это и в художественных произведениях поэта. Тема “жизни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ром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не станет главенствующей в них. Однако она всегда будет присутствовать подспудно, осложняя основную коллизию. Связанные с христианской и народной традицией, идеалы соборности 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будут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или иначе соприкасаться с темами странничества,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трудничества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подвижничества, мученичества, веры.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Мне хотелось бы остановиться более подробно на анализе значений слова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в поэме “Кому на Руси жить хорошо”.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 в одноимённой главе рассказывает странникам о своём положении после 1861 года, сравнивая его с прошлым, дореформенным. Примечательно, что, говоря о себе, он передаёт жизнь всей России того времени. Такая особенность характерна для многих персонажей “Кому на Руси жить хорошо”: личная, индивидуальная судьба является неотъемлемым элементом общей, коллективной жизни. Герой поэмы выделен, чтобы ярче подчеркнуть его принадлежность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речи попа слово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(и производные от него) появляется неоднократно. Рассмотрим эти случаи.</w:t>
      </w:r>
    </w:p>
    <w:p w:rsidR="00B8482E" w:rsidRPr="00B8482E" w:rsidRDefault="00B8482E" w:rsidP="00B8482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t>Попу поправка добрая,</w:t>
      </w: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br/>
        <w:t>Мирянам праздник праздником.</w:t>
      </w: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br/>
        <w:t>Живи с одних крестьян,</w:t>
      </w: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br/>
        <w:t>Сбирай мирские гривенки…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этих примерах основное значение слова (“сельская община”) дополняется следующими оттенками: мирская жизнь противопоставляется монастырской, а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представляет собой приход определённой церкви.</w:t>
      </w:r>
    </w:p>
    <w:p w:rsidR="00B8482E" w:rsidRPr="00B8482E" w:rsidRDefault="00B8482E" w:rsidP="00B8482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t>Болящий, умирающий,</w:t>
      </w: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br/>
        <w:t>Рождающийся в мир</w:t>
      </w:r>
      <w:proofErr w:type="gramStart"/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br/>
        <w:t>Н</w:t>
      </w:r>
      <w:proofErr w:type="gramEnd"/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t>е избирают времени…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данном контексте 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локальный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(“община”) приобретает значение другого слова, близкого ему по звучанию, но сильно отличающегося по своей семантике.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разрастается до “мира” с характерными для него значениями “вселенная”, “земной шар, люди, население земного шара”.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таким образом, есть устоявшаяся форма бытия со свойственными ей особенностями. Законы такой жизни универсальны – они не зависят от времени, распространяются на всё и вся, не зная исключений.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Особо интересен следующий пример:</w:t>
      </w:r>
    </w:p>
    <w:p w:rsidR="00B8482E" w:rsidRPr="00B8482E" w:rsidRDefault="00B8482E" w:rsidP="00B8482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t>Всё в мире переменчиво, </w:t>
      </w: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br/>
        <w:t>Прейдёт и самый мир…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своей всеохватности он во многом близок предыдущему, но у него есть и некоторые особенности. Первая часть цитаты (“Всё в мире переменчиво”) близка пословице “В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в пиру: всего много (и добра, и худа)” из словаря В.Даля с характерным семантическим оттенком противоречивости, многогранности. Вторая же часть противоречит выделенным нами ранее аспектам данного значения слова. В соответствии с материалом толкового словаря Даля,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— извечный закон жизни; он был, есть и будет. В тексте поэмы появляется неуверенность в его бессмертии. С чем это может быть связано? Слова эти произносит поп. Возможно, отмена крепостного права породила в нём сомнение в устойчивости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”. Ведь каждая реформа, какой бы она для человека ни была – положительной или отрицательной, психологически переживается очень сложно. Любой постепенно приспосабливается к жизни, привыкает к определённому её ритму, соответственно этому строит дальнейшие планы. Нововведения выбивают почву из-под ног, создают ощущение нестабильности в будущем. Сходный образ России как потерянного за грехи рая создаётся и в речи помещика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Оболта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Оболдуева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После реформы 1861 года начинается разрушение традиционных патриархальных устоев, уходит поэзия усадебных, “дворянских гнёзд”, наступает эпоха развенчания этой утопии.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Несколько раз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появляется в части “Крестьянка”:</w:t>
      </w:r>
    </w:p>
    <w:p w:rsidR="00B8482E" w:rsidRPr="00B8482E" w:rsidRDefault="00B8482E" w:rsidP="00B8482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t>У немца – хватка мёртвая:</w:t>
      </w: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br/>
        <w:t>Пока не пустит по миру,</w:t>
      </w: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br/>
        <w:t>Не отойдя, сосёт! </w:t>
      </w: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br/>
        <w:t>Послала деток по миру…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Данные примеры соответствуют выделенным нами ранее оттенкам значения: “нищенство, юродство, странничество”.</w:t>
      </w:r>
    </w:p>
    <w:p w:rsidR="00B8482E" w:rsidRPr="00B8482E" w:rsidRDefault="00B8482E" w:rsidP="00B8482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t>Я миру в ноги кланялся,</w:t>
      </w: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br/>
        <w:t>Да мир у нас какой? —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рассказывает свёкор Матрёны Тимофеевны.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непосредственно означает “крестьянская сходка; собрание для решения важных вопросов”.</w:t>
      </w:r>
    </w:p>
    <w:p w:rsidR="00B8482E" w:rsidRPr="00B8482E" w:rsidRDefault="00B8482E" w:rsidP="00B8482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t xml:space="preserve">— Исполним </w:t>
      </w:r>
      <w:proofErr w:type="spellStart"/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t>повелённое</w:t>
      </w:r>
      <w:proofErr w:type="spellEnd"/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t>! –</w:t>
      </w: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br/>
        <w:t>Сказал мирянам староста…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этом примере на первое место выступает иерархичность мира, чёткое распределение в нём социальных ролей. Во главе общины стоит староста, и, хотя он правит миром не единолично, последнее слово в спорах всё же остается за ним. Номинация “миряне” употребляется, как мы помним, и в речи попа, но здесь нет противопоставления мирской и монастырской жизни. Таким образом, можно сделать вывод о том, что в разных контекстах слово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вызывает очень разнообразные ассоциации.</w:t>
      </w:r>
    </w:p>
    <w:p w:rsidR="00B8482E" w:rsidRPr="00B8482E" w:rsidRDefault="00B8482E" w:rsidP="00B8482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t>Нет у солдатки-матери</w:t>
      </w:r>
      <w:proofErr w:type="gramStart"/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br/>
        <w:t>В</w:t>
      </w:r>
      <w:proofErr w:type="gramEnd"/>
      <w:r w:rsidRPr="00B8482E">
        <w:rPr>
          <w:rFonts w:ascii="Times" w:eastAsia="Times New Roman" w:hAnsi="Times" w:cs="Times"/>
          <w:i/>
          <w:iCs/>
          <w:color w:val="000000"/>
          <w:lang w:eastAsia="ru-RU"/>
        </w:rPr>
        <w:t>о всём миру дружка!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Данная цитата – ещё одно, пока не указанное нами значение. Вообще, для речи Матрёны Тимофеевны характерно достаточно узкое, конкретное по сути своей употребление данного понятия (в отличие от того же попа, в рассказе которого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универсализируется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). Тем не 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менее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здесь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используется не просто для номинации определённого явления действительности; слова героини приобретают обобщённый характер. Это не “поповский”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в значении “вселенная; земной шар, его обитатели” (такому толкованию сильно мешает склонение), но и не просто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в локальном значении “община”.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отличие от попа и помещика, у Матрёны Тимофеевны нет ощущения краха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есть, скорее, уверенность в изначальной его непогрешимости. Уверенность эта наиболее ярко проявляется в финале главы, где тема женского горя приобретает фатальный, неразрешимый характер. “Бабья притча” ещё раз косвенно характеризует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— он далеко не идеален. Но помимо этого она констатирует и незыблемость его законов (пусть несовершенных), нерушимость патриархальных традиций.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“Последыше”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употребляется в своём основном значении “сельская община” исключительно для номинации данного факта:</w:t>
      </w:r>
    </w:p>
    <w:p w:rsidR="00B8482E" w:rsidRPr="00B8482E" w:rsidRDefault="00B8482E" w:rsidP="00B8482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“собрался мир, галдит!”;</w:t>
      </w:r>
      <w:r w:rsidRPr="00B8482E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2) “Луга-то (эти самые), // Да водка, да с три короба // Посулов то и сделали, // Что мир решил помалчивать…”;</w:t>
      </w:r>
      <w:r w:rsidRPr="00B8482E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3) “Долгонько думал мир”;</w:t>
      </w:r>
      <w:r w:rsidRPr="00B8482E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4) “Упрёшься – мир осердится, // А мир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дурак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доймёт!”;</w:t>
      </w:r>
      <w:r w:rsidRPr="00B8482E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5) “И мир давно бы рушился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Б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ез разума господского…”;</w:t>
      </w:r>
      <w:r w:rsidRPr="00B8482E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6) “Скажи спасибо,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Ильич: // Я миру порадел” и другие.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Конте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кст зд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есь не несёт негативной оценки (за исключением, пожалуй, примеров № 2 и 4). Однако сюжетный и идейный уровни направлены на развенчание “идеальности” мира, на выделение слабых его сторон. Община падка на материальные блага, ради них многие члены её готовы поступиться честью, достоинством. За водку, подарки и обещанные земли они соглашаются разыгрывать перед князем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Утятиным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комедию: делать вид, будто крепостное право возвращено. Староста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Ильич отказывается от этого, говоря, что не может “на спросы бестолковые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О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тветствовать.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Дурацкие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Приказы исполнять”. Однако он не в силах повлиять на решение всего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хотя и является его главой (вспомним пословицы из словаря Даля).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Особо следует рассмотреть употребление интересующего нас слова в заглавии “Пир на весь мир”. На определённом этапе работы над поэмой (до 1847 года) Некрасов хотел закончить путешествие крестьян встречей с Матрёной Тимофеевной и с Савелием. “Бабья притча” и рассказ богатыря бросили бы на все предшествующие события особый, безысходно трагический отсвет. Однако в дальнейшем автор пересмотрел композицию поэмы, сделав некоторые сюжетные перестановки и приняв окончательное решение о заключительной главе, которая стала оптимистической. Её жизнеутверждающий пафос ярко отразился в названии.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здесь 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уподоблен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“пиру”, что в принципе не противоречит народной традиции. 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уподобление вносит в значение основного концепта темы “наполненности жизни”, “радости”, “праздника”, причём не столько в их бытовом, сколько в философском смысле.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Ведь именно в этой части поэмы мы впервые встречаемся с Гришей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Добросклоновым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 которого Некрасов возлагает огромные надежды. Появление этого героя (и подобных ему людей) ассоциируется с обретением Россией истинного счастья, спасения. Вот откуда возникает эта идея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как “пира”, то есть веселья, богатства, гостеприимства, торжества.</w:t>
      </w:r>
    </w:p>
    <w:p w:rsidR="00B8482E" w:rsidRPr="00B8482E" w:rsidRDefault="00B8482E" w:rsidP="00B848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е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ё м  и т о г и.</w:t>
      </w:r>
      <w:r w:rsidRPr="00B8482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толковании значения слова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Некрасов, как мы видим, опирается на народную традицию. Община – незыблемый порядок жизни, установленный издавна. В понятие это включается и природа (особенно явно это происходит в “Прологе”), но всё же поэта больше интересует круг социальных ассоциаций. Характерной чертой его произведений является то, что слово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ръ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практически не используется только в основном своём значении; в разных контекстах оно рождает разные ассоциации. Большинство из них не выходит за пределы традиционной народной культуры. Однако некоторые по своей семантике максимально расширяют пределы локального значения “община”, 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универсализируются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распространяются на весь народ, всю Русь (в качестве синонимов к нему используются такие слова, как “мы”, “вотчина”, “</w:t>
      </w:r>
      <w:proofErr w:type="spellStart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вахлачина</w:t>
      </w:r>
      <w:proofErr w:type="spellEnd"/>
      <w:r w:rsidRPr="00B848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“люди добрые”, “мужики”, “народ”, “царство мужицкое”, “страдное русское крестьянство”).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B8482E"/>
    <w:rsid w:val="004A3CBF"/>
    <w:rsid w:val="009C7992"/>
    <w:rsid w:val="00B8482E"/>
    <w:rsid w:val="00DD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48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4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82E"/>
  </w:style>
  <w:style w:type="paragraph" w:styleId="a3">
    <w:name w:val="Normal (Web)"/>
    <w:basedOn w:val="a"/>
    <w:uiPriority w:val="99"/>
    <w:semiHidden/>
    <w:unhideWhenUsed/>
    <w:rsid w:val="00B8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82E"/>
    <w:rPr>
      <w:b/>
      <w:bCs/>
    </w:rPr>
  </w:style>
  <w:style w:type="character" w:styleId="a5">
    <w:name w:val="Emphasis"/>
    <w:basedOn w:val="a0"/>
    <w:uiPriority w:val="20"/>
    <w:qFormat/>
    <w:rsid w:val="00B84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10192</Characters>
  <Application>Microsoft Office Word</Application>
  <DocSecurity>0</DocSecurity>
  <Lines>84</Lines>
  <Paragraphs>23</Paragraphs>
  <ScaleCrop>false</ScaleCrop>
  <Company>Microsoft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2014-02-15T15:32:00Z</dcterms:created>
  <dcterms:modified xsi:type="dcterms:W3CDTF">2014-02-15T16:03:00Z</dcterms:modified>
</cp:coreProperties>
</file>