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6F3655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ШТУДИИ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0" cy="2305050"/>
            <wp:effectExtent l="19050" t="0" r="0" b="0"/>
            <wp:wrapSquare wrapText="bothSides"/>
            <wp:docPr id="2" name="Рисунок 2" descr="Село Тимохи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ло Тимохино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55" w:rsidRPr="006F3655" w:rsidRDefault="006F3655" w:rsidP="006F3655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6F3655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Татьяна ГОРБАТОВА</w:t>
      </w:r>
    </w:p>
    <w:p w:rsidR="006F3655" w:rsidRPr="006F3655" w:rsidRDefault="006F3655" w:rsidP="006F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7.5pt;height:.4pt" o:hrpct="0" o:hralign="left" o:hrstd="t" o:hrnoshade="t" o:hr="t" fillcolor="black" stroked="f"/>
        </w:pic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</w:pPr>
      <w:proofErr w:type="spellStart"/>
      <w:r w:rsidRPr="006F3655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>Трудничество</w:t>
      </w:r>
      <w:proofErr w:type="spellEnd"/>
      <w:r w:rsidRPr="006F3655">
        <w:rPr>
          <w:rFonts w:ascii="Verdana" w:eastAsia="Times New Roman" w:hAnsi="Verdana" w:cs="Times New Roman"/>
          <w:b/>
          <w:bCs/>
          <w:color w:val="2E5F30"/>
          <w:kern w:val="36"/>
          <w:sz w:val="40"/>
          <w:szCs w:val="40"/>
          <w:lang w:eastAsia="ru-RU"/>
        </w:rPr>
        <w:t xml:space="preserve"> и странничество как две формы праведной жизни в произведениях Н.А. Некрасова</w:t>
      </w:r>
    </w:p>
    <w:p w:rsidR="006F3655" w:rsidRPr="006F3655" w:rsidRDefault="006F3655" w:rsidP="006F3655">
      <w:pPr>
        <w:shd w:val="clear" w:color="auto" w:fill="FFFFFF"/>
        <w:spacing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b/>
          <w:bCs/>
          <w:color w:val="006400"/>
          <w:sz w:val="20"/>
          <w:lang w:eastAsia="ru-RU"/>
        </w:rPr>
        <w:t xml:space="preserve">Олицетворением нравственного идеала в народе всегда считались святые угодники, носители Божией правды. Обращается к христианскому опыту святых подвижников и Некрасов. Стяжание святости может совершаться, во-первых, через иноческое служение, а во-вторых, через праведный образ жизни и служение людям </w:t>
      </w:r>
      <w:proofErr w:type="gramStart"/>
      <w:r w:rsidRPr="006F3655">
        <w:rPr>
          <w:rFonts w:ascii="Verdana" w:eastAsia="Times New Roman" w:hAnsi="Verdana" w:cs="Times New Roman"/>
          <w:b/>
          <w:bCs/>
          <w:color w:val="006400"/>
          <w:sz w:val="20"/>
          <w:lang w:eastAsia="ru-RU"/>
        </w:rPr>
        <w:t>в</w:t>
      </w:r>
      <w:proofErr w:type="gramEnd"/>
      <w:r w:rsidRPr="006F3655">
        <w:rPr>
          <w:rFonts w:ascii="Verdana" w:eastAsia="Times New Roman" w:hAnsi="Verdana" w:cs="Times New Roman"/>
          <w:b/>
          <w:bCs/>
          <w:color w:val="006400"/>
          <w:sz w:val="20"/>
          <w:lang w:eastAsia="ru-RU"/>
        </w:rPr>
        <w:t xml:space="preserve"> миру. Некрасова интересует именно второй путь, поэтому все его “подвижники” причастны к миру. Сокровенная мысль всех его произведений — о невозможности личного, индивидуального спасения, о нравственной ответственности каждого человека за происходящее в мире, где каждый за всех и перед всеми виноват. Некрасовский “народный заступник” — это “подвижник”</w:t>
      </w:r>
      <w:proofErr w:type="gramStart"/>
      <w:r w:rsidRPr="006F3655">
        <w:rPr>
          <w:rFonts w:ascii="Verdana" w:eastAsia="Times New Roman" w:hAnsi="Verdana" w:cs="Times New Roman"/>
          <w:b/>
          <w:bCs/>
          <w:color w:val="006400"/>
          <w:sz w:val="20"/>
          <w:lang w:eastAsia="ru-RU"/>
        </w:rPr>
        <w:t xml:space="preserve"> ,</w:t>
      </w:r>
      <w:proofErr w:type="gramEnd"/>
      <w:r w:rsidRPr="006F3655">
        <w:rPr>
          <w:rFonts w:ascii="Verdana" w:eastAsia="Times New Roman" w:hAnsi="Verdana" w:cs="Times New Roman"/>
          <w:b/>
          <w:bCs/>
          <w:color w:val="006400"/>
          <w:sz w:val="20"/>
          <w:lang w:eastAsia="ru-RU"/>
        </w:rPr>
        <w:t xml:space="preserve"> который не бежит от мира, а идёт в мир.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6400"/>
          <w:sz w:val="48"/>
          <w:szCs w:val="48"/>
          <w:lang w:eastAsia="ru-RU"/>
        </w:rPr>
        <w:t>П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одвижничество же простого русского мужика заключается в тяжёлом физическом труде. Народ высоко ценил аскетическое монастырское служение, но рядом с ним, в жизни мирян, он утверждал служение другое —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трудничество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Труд оценивается традиционной крестьянской этикой как необходимое, возвеличивающее, праведное дело. Народный мир у Некрасова можно условно разделить на тружеников (людей, обрабатывающих землю, постоянно находящихся в одном пространстве) и странников-богомольцев, идущих по Руси. Каждый выполняет свою миссию, но изначальная мотивация едина — физическое страдание на земле во имя светлой будущей жизни на небе.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не согласиться с Ю.В. Лебедевым, который утверждает, что с этой точки зрения до сих пор не понята и не осмыслена особая роль темы труда в поэзии Некрасова вообще и в «Железной дороге» в частности. Песня мертвецов — строителей железной дороги — обычно воспринимается лишь как обличение.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Разумеется, эта тема есть, но содержание ею никак не исчерпывается. На тяжёлые и бесчеловечные условия мертвецы указывают не для того, чтобы посетовать на тяготы, перенесённые ими. Скорее наоборот: эти тяготы как бы усиливают сознание высшей праведности предпринятого ими трудового подвижничества, ибо трудились они на пользу общую и не материальные блага вдохновляли их, а надежда на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богоугодность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великого дела. Как православные люди, они убеждены, что “Бог труды любит”. Поэтому в лунную ночь они любуются делом своих рук и радуются, что во имя Божие претерпели великие муки и страдания.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Очень интересно трактует «Железную дорогу» В.А. Сапогов. Он выявляет в основе этого стихотворения миф о “строительной жертве”, связанный с обрядом основания. 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Жертва трактуется в нём как выкуп за место, именно ею обеспечивается жизнеспособность заложенного дома, храма, города и тому подобного. Железная дорога — сооружение, построенное на мертвецах (“мёртвые в землю зарыты”). По мифу, строители, принесённые в жертву, обладают особым статусом посредников между миром земным и потусторонним. Они являются Ване в видении, чтобы рассказать о строительстве дороги. “Мирные дети труда”, претерпевшие всё, они становятся “божьими ратниками”, то есть жертвой принятой. Финальная сцена, по мысли В.А. Сапогова, “связана с темой жертвенного пиршественного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возлияния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положенными в этом случае всепрощением («Бочку рабочим вина выставляю // И недоимку дарю…»), единством (песни, крики «ура!»),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травестийными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заменами (выпрягают лошадей и вместо них впрягаются сами) и, наконец, всеобщим ликованием”.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Мифологему “строительной жертвы” исследователь выделяет также в других произведениях Некрасова: программном стихотворении «Поэт и гражданин» (“Умрёшь не даром: дело прочно, // Когда под ним струится кровь…”), стихотворениях-некрологах (например, «Памяти Добролюбова»), декабристских поэмах.</w:t>
      </w:r>
      <w:proofErr w:type="gramEnd"/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6400"/>
          <w:sz w:val="48"/>
          <w:szCs w:val="48"/>
          <w:lang w:eastAsia="ru-RU"/>
        </w:rPr>
        <w:t>В</w:t>
      </w:r>
      <w:r w:rsidRPr="006F36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народном представлении умереть в праведном труде — значит “умереть со славой”. В цикле «О погоде» типографский рассыльный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Минай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обращаясь к поэту, говорит: “Умереть бы привёл Бог со славою, // Отдохнуть отдохнём,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потрудясь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…”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Трудничество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характерная примета всех народных героев Некрасова. В основе стихотворения «Дума» («Сторона наша убогая…», 1861) — житейский сюжет: мужик хочет наняться в работники. Его интересует плата за труд, материальная сторона, но это не становится для него главным, определяющим. У него “поработать руки чешутся”, батрака притягивает и манит труд сам по себе, причём труд тяжёлый, напоминающий богатырский. Да и сам мужик видит себя не иначе как богатырём: пашет пески сыпучие, рубит леса дремучие. Тема трудового богатырства, развивающая мотив былин о Микуле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Селяниновиче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Святогоре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становится одной из ведущих в творчестве Некрасова. Богатырю уподобляется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Прокл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поэме «Мороз, Красный нос» (“Большие, с мозолями руки, // Подъявшие много труда, // Красивое, чуждое муки // Лицо — и до рук борода…”). Эту же тему подхватывает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Кому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Руси жить хорошо» Савелий, который, обращаясь к Матрёне Тимофеевне, говорит: “Ты думаешь,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Матрёнушка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// Мужик — не богатырь? // И жизнь его не ратная, // И смерть ему не писана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В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бою — а богатырь!”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Крестьянский труд мало что даёт в материальном отношении: в лучшем случае он дарует мужику ровно столько, сколько нужно для скромного достатка и поддержания жизни. Сама природа приглушает в русском человеке материальные стимулы труда, но зато сполна мобилизует другие, духовные его мотивы. Эта мысль отчётливо звучит в поэме «Крестьянские дети»:</w:t>
      </w:r>
    </w:p>
    <w:p w:rsidR="006F3655" w:rsidRPr="006F3655" w:rsidRDefault="006F3655" w:rsidP="006F3655">
      <w:pPr>
        <w:shd w:val="clear" w:color="auto" w:fill="FFFFFF"/>
        <w:spacing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Любите свой хлеб трудовой —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И пусть обаянье поэзии детства</w:t>
      </w:r>
      <w:proofErr w:type="gram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П</w:t>
      </w:r>
      <w:proofErr w:type="gram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роводит вас в недра землицы родной!..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Любовь к “скудному полю”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требует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духовного, детски-бескорыстного к нему отношения. Она не подвластна земным, материальным мотивам, она выше конечного и преходящего (именно поэтому Некрасов подчёркивает здесь тему вечности). Без этой любви крестьянский труд теряет свою красоту и поэтичность.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* *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6400"/>
          <w:sz w:val="48"/>
          <w:szCs w:val="48"/>
          <w:lang w:eastAsia="ru-RU"/>
        </w:rPr>
        <w:t>В</w:t>
      </w:r>
      <w:r w:rsidRPr="006F36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стихотворении «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(1855) Некрасов создаёт образ русского странника, собирающего пожертвования на строительство церкви. Очень важным является то, что этот человек раньше был “великим грешником” (этот образ будет и в поэме «Кому на Руси жить хорошо») — так возникает тема греха. Каноническая церковь признаёт грехом нарушение заповедей Христа: “Если же хочешь войти в жизнь</w:t>
      </w:r>
      <w:r w:rsidRPr="006F36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вечную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соблюди заповеди. Говорит Ему: «Какие?» А Иисус же сказал: не убивай; не прелюбодействуй; не кради; не лжесвидетельствуй; почитай отца и мать; и: люби ближнего твоего как самого себя». Юноша говорит Ему: всё это сохранил я от юности моей; чего ещё недостаёт мне? Иисус сказал ему: если хочешь быть совершенным, пойди, продай имение твоё и раздай нищим; и будешь иметь сокровище на небесах…” (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Мф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19, 17–21).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Интересно осмысление греха в духовных стихах, являющихся результатом освоения христианства народом (далеко не адекватного христианскому учению в его чистоте). В духовных стихах принципы благочестия более конкретны:</w:t>
      </w:r>
    </w:p>
    <w:p w:rsidR="006F3655" w:rsidRPr="006F3655" w:rsidRDefault="006F3655" w:rsidP="006F3655">
      <w:pPr>
        <w:shd w:val="clear" w:color="auto" w:fill="FFFFFF"/>
        <w:spacing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Как я, Господи,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восскорбил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своею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душею</w:t>
      </w:r>
      <w:proofErr w:type="spellEnd"/>
      <w:proofErr w:type="gram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О</w:t>
      </w:r>
      <w:proofErr w:type="gram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т смертного часу до Христова воскресения,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Такожды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и вы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попоститеся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Верою и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любовию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, кротостями и смирением,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Своими благими делами.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(Иерусалимские стихи)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Только всем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поможеть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посты и молитвы, милостыня наша,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Кто нищему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даваить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да родителей своих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поминаеть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.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Нас Господь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помяне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за престолом Своим,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За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архангельскым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гласым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да за </w:t>
      </w:r>
      <w:proofErr w:type="gram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райской</w:t>
      </w:r>
      <w:proofErr w:type="gram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пишшай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.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Кто мёртвых проводить до Божьей до церкви</w:t>
      </w:r>
      <w:proofErr w:type="gram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С</w:t>
      </w:r>
      <w:proofErr w:type="gram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 xml:space="preserve"> кануном, с 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свячою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, Богу помолится —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На веки спасётся, на многая лета!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(Плач Адама)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стихотворении критерии греховности приобретают социальный характер.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преступил законы того общества, в котором он жил. Все его действия (за исключением, может быть, того, что он “побоями в гроб жену свою вогнал”) направлены не просто против конкретного человека, а против всего мира.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Неслучайно Некрасов использует собирательное слово “соседство” (которое можно отнести к тематическому полю</w:t>
      </w:r>
      <w:r w:rsidRPr="006F365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“</w:t>
      </w:r>
      <w:proofErr w:type="spellStart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мiръ</w:t>
      </w:r>
      <w:proofErr w:type="spellEnd"/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”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представленному ещё такими словами, как “народ”, “Русь крещёная”, “мы” и другими); собирательными являются образы “родного”, “убогого”, “пахаря”, “нищего”.</w:t>
      </w:r>
      <w:proofErr w:type="gramEnd"/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Одной из важнейших мыслей стихотворения можно назвать следующую: искреннее раскаяние способно искупить любой грех (что согласуется как с традиционной Церковью, так и с народным мировосприятием.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“Иисус же, услышав это, сказал: «не здоровые имеют нужду во враче, но больные… Я пришёл призвать не праведников, но грешников к покаянию»” (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Мф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 9, 12–13). Народные пословицы: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“Большой грех прощается скорее малого, потому что человек покается” (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раскольн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.); “Ни греха, ни спасения”; “Умей грешить, умей и каяться”; “Ни праведный без порока, ни грешный без покаяния”).</w:t>
      </w:r>
      <w:proofErr w:type="gramEnd"/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грешен, но готов отмолить свой грех, пострадать. Он отправился собирать деньги на строительство храма. Примечательно, что он роздал, а не продал своё имущество (ведь выручку можно было бы тоже вложить в создание Церкви) — так герой отрекается от своей прошлой неправедной жизни, от нечестно заработанного богатства. Ведь Божий храм не может быть построен на ворованные деньги. Но важно ещё и то, что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приобщает к его созданию других людей со всей “Руси крещёной” — весь мир.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57150" distB="57150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209800"/>
            <wp:effectExtent l="19050" t="0" r="0" b="0"/>
            <wp:wrapSquare wrapText="bothSides"/>
            <wp:docPr id="3" name="Рисунок 3" descr="Село Сопё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ло Сопёл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Таким образом, “великий грешник” как бы возвращается в мир, законы которого он когда-то презрел. Меняется его нравственный облик.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превратился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последнего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ещё при жизни, чтобы стать первым после смерти. Он нищий, питается подаянием, но его путь — путь праведника.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Подобный образ возникает у Некрасова также в стихотворении «Размышления у парадного подъезда». Здесь у странников другая цель: они, видимо, пришли с просьбой от общины в город. </w:t>
      </w:r>
      <w:proofErr w:type="gram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</w:t>
      </w:r>
      <w:proofErr w:type="gram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сути миссия и у них, и у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Власа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одна и та же — послужить миру; принять на себя страдание, избавив от него других людей. Отношение русского народа к страннику почтительное, граничащее с преклонением перед его трудом. Он и воспринимается не как обыкновенный, а как “Божий человек”, обидеть которого — грех. Поэтому “владелец роскошных палат” виноват не только перед этими конкретными мужиками, но перед всей “Русью крещёной (“И сойдёшь ты в могилу… герой, // Втихомолку проклятый отчизною…”). И совершает он не какое-то должностное преступление, а преступление против совести, против Бога (“Не страшат тебя громы небесные…”).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6400"/>
          <w:sz w:val="48"/>
          <w:szCs w:val="48"/>
          <w:lang w:eastAsia="ru-RU"/>
        </w:rPr>
        <w:t>О</w:t>
      </w: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бразы странников в «Размышлениях у парадного подъезда» — это религиозные образы, синонимы высокого нравственного подвижничества. Поэтому они “помолились на церковь”, поэтому у них и “крест на шее” — как бы символ мученического креста, который русский мужик в этой жизни нёс (слово “мука” тоже употреблено Некрасовым). Как замечает 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М.Нольман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далее поэтическое повествование о мужиках продолжается в таком же и даже ещё более высоком, почти библейском, стиле. Убогие крестьянские сумки и котомки названы “</w:t>
      </w:r>
      <w:proofErr w:type="spellStart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кошли</w:t>
      </w:r>
      <w:proofErr w:type="spellEnd"/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скромное задабривание швейцара — “скудная лепта”. Наконец, самих мужиков поэт называет “пилигримы”, то есть религиозные путешественники, взявшие обет на служение… Определение “пилигримы” находит продолжение, разворачивается, когда в стихотворении появляется образ “палящего солнца” (рядом с апелляцией к “Божьему суду”):</w:t>
      </w:r>
    </w:p>
    <w:p w:rsidR="006F3655" w:rsidRPr="006F3655" w:rsidRDefault="006F3655" w:rsidP="006F3655">
      <w:pPr>
        <w:shd w:val="clear" w:color="auto" w:fill="FFFFFF"/>
        <w:spacing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t>И пошли они, солнцем палимы,</w:t>
      </w:r>
      <w:r w:rsidRPr="006F3655">
        <w:rPr>
          <w:rFonts w:ascii="Times" w:eastAsia="Times New Roman" w:hAnsi="Times" w:cs="Times"/>
          <w:i/>
          <w:iCs/>
          <w:color w:val="000000"/>
          <w:lang w:eastAsia="ru-RU"/>
        </w:rPr>
        <w:br/>
        <w:t>Повторяя: “Суди его Бог!”</w:t>
      </w:r>
    </w:p>
    <w:p w:rsidR="006F3655" w:rsidRPr="006F3655" w:rsidRDefault="006F3655" w:rsidP="006F36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36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То, что они уходят с “непокрытыми головами”, оказывается последним штрихом к образу крестьян, высокому и трагическому образу подвижников и страдальцев.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F3655"/>
    <w:rsid w:val="004A3CBF"/>
    <w:rsid w:val="006F3655"/>
    <w:rsid w:val="009C7992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3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3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655"/>
    <w:rPr>
      <w:b/>
      <w:bCs/>
    </w:rPr>
  </w:style>
  <w:style w:type="character" w:customStyle="1" w:styleId="apple-converted-space">
    <w:name w:val="apple-converted-space"/>
    <w:basedOn w:val="a0"/>
    <w:rsid w:val="006F3655"/>
  </w:style>
  <w:style w:type="character" w:styleId="a5">
    <w:name w:val="Emphasis"/>
    <w:basedOn w:val="a0"/>
    <w:uiPriority w:val="20"/>
    <w:qFormat/>
    <w:rsid w:val="006F3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9252</Characters>
  <Application>Microsoft Office Word</Application>
  <DocSecurity>0</DocSecurity>
  <Lines>77</Lines>
  <Paragraphs>21</Paragraphs>
  <ScaleCrop>false</ScaleCrop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2014-02-15T16:00:00Z</dcterms:modified>
</cp:coreProperties>
</file>