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800040"/>
          <w:sz w:val="28"/>
          <w:szCs w:val="28"/>
          <w:lang w:eastAsia="ru-RU"/>
        </w:rPr>
        <w:t>ПАНТЕОН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71800" cy="2381250"/>
            <wp:effectExtent l="19050" t="0" r="0" b="0"/>
            <wp:wrapSquare wrapText="bothSides"/>
            <wp:docPr id="2" name="Рисунок 2" descr="В оформлении использован рисунок Н.Голь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формлении использован рисунок Н.Гольц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800040"/>
          <w:sz w:val="24"/>
          <w:szCs w:val="24"/>
          <w:lang w:eastAsia="ru-RU"/>
        </w:rPr>
        <w:t>Игорь ЗОЛОТУССКИЙ</w:t>
      </w:r>
    </w:p>
    <w:p w:rsidR="007E1708" w:rsidRPr="007E1708" w:rsidRDefault="007E1708" w:rsidP="007E1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5pt;height:.4pt" o:hrpct="0" o:hrstd="t" o:hrnoshade="t" o:hr="t" fillcolor="black" stroked="f"/>
        </w:pic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800040"/>
          <w:kern w:val="36"/>
          <w:sz w:val="40"/>
          <w:szCs w:val="40"/>
          <w:lang w:eastAsia="ru-RU"/>
        </w:rPr>
        <w:t>Струна в тумане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Так гений радостно трепещет,</w:t>
      </w:r>
      <w:r w:rsidRPr="007E1708">
        <w:rPr>
          <w:rFonts w:ascii="Verdana" w:eastAsia="Times New Roman" w:hAnsi="Verdana" w:cs="Times New Roman"/>
          <w:b/>
          <w:bCs/>
          <w:color w:val="75003A"/>
          <w:sz w:val="20"/>
          <w:szCs w:val="20"/>
          <w:lang w:eastAsia="ru-RU"/>
        </w:rPr>
        <w:br/>
      </w: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Свое величье познаёт,</w:t>
      </w:r>
      <w:r w:rsidRPr="007E1708">
        <w:rPr>
          <w:rFonts w:ascii="Verdana" w:eastAsia="Times New Roman" w:hAnsi="Verdana" w:cs="Times New Roman"/>
          <w:b/>
          <w:bCs/>
          <w:color w:val="75003A"/>
          <w:sz w:val="20"/>
          <w:szCs w:val="20"/>
          <w:lang w:eastAsia="ru-RU"/>
        </w:rPr>
        <w:br/>
      </w: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Когда пред ним гремит и блещет</w:t>
      </w:r>
      <w:proofErr w:type="gramStart"/>
      <w:r w:rsidRPr="007E1708">
        <w:rPr>
          <w:rFonts w:ascii="Verdana" w:eastAsia="Times New Roman" w:hAnsi="Verdana" w:cs="Times New Roman"/>
          <w:b/>
          <w:bCs/>
          <w:color w:val="75003A"/>
          <w:sz w:val="20"/>
          <w:szCs w:val="20"/>
          <w:lang w:eastAsia="ru-RU"/>
        </w:rPr>
        <w:br/>
      </w: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И</w:t>
      </w:r>
      <w:proofErr w:type="gramEnd"/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ного гения полёт. </w:t>
      </w:r>
      <w:r w:rsidRPr="007E1708">
        <w:rPr>
          <w:rFonts w:ascii="Verdana" w:eastAsia="Times New Roman" w:hAnsi="Verdana" w:cs="Times New Roman"/>
          <w:color w:val="75003A"/>
          <w:sz w:val="20"/>
          <w:szCs w:val="20"/>
          <w:lang w:eastAsia="ru-RU"/>
        </w:rPr>
        <w:br/>
        <w:t>Н.Языков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Это статья о двух, может быть, самых загадочных гениях русской литературы. Один заставлял нас громко смеяться, но в осадок смеха выпадали слезы. Другой более склонялся к сарказму, к анализу боли сознания, к “хождениям души по мытарствам”.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Судьба распорядилась так, что в истории литературы (и русской истории вообще) они стоят рядом, и строптивый наследник, “принимая дела” у своего предшественника, желает освободиться от связывающих их уз. Но, как это и бывает между “отцами” и “детьми”, не может их порвать.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75003A"/>
          <w:sz w:val="20"/>
          <w:lang w:eastAsia="ru-RU"/>
        </w:rPr>
        <w:t>Ничто великое не уходит в прошлое, а продолжается в ином великом. Но их встреча — всегда драма, конфликт, полемика.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П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ервая трагическая страница в судьбе Достоевского связана с Гоголем. Вот что гласил приговор военно-судной комиссии по делу петрашевцев: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“Военный суд находит подсудимого Достоевского виновным в том, что он, получив в марте сего года из Москвы от дворянина Плещеева... копию с преступного письма литератора Белинского, — читал это письмо в собраниях: сначала у подсудимого Дурова, потом у подсудимого Петрашевского. А потому военный суд приговорил его за недонесение о распространении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преступного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религии и правительстве письма литератора Белинского... лишить на основании Свода военных постановлений... чинов и всех прав состояния и подвергнуть смертной казни расстрелянием”.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писал Белинский Гоголю? Он стыдил его и обличал. Стыдил за желание угодить правительству, обличал за оправдание крепостного права: “Нельзя перенести оскорблённого чувства истины, человеческого достоинства; нельзя умолчать, когда под покровом религии и защитою кнута проповедуют ложь и безнравственность как истину и добродетель”.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Достоевский в то время разделял этот взгляд Белинского. Иначе он не читал бы с пафосом его письма к Гоголю.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Спустя десять лет в повести “Село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Степанчиково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его обитатели”, являющейся пародией на “Выбранные места из переписки с друзьями”, он выведет тип ханжи и брюзги Фомы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Опискина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 этот персонаж в своих фарисейских речах станет на каждом шагу цитировать эту книгу.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завещании, предпосланном “Выбранным местам”, Гоголь писал: “Завещаю не ставить надо мною никакого памятника и не помышлять о таком пустяке, христианина 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недостойном. Кому же из моих я был действительно дорог, тот воздвигнет мне памятник иначе: воздвигнет он его в самом себе”.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вот текст Достоевского: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“О, не ставьте мне монумента! — кричал Фома, — не ставьте мне его! Не надо мне монументов! В сердцах своих воздвигните мне монумент! А больше ничего не надо, не надо, не надо!”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не знал автор этой карикатуры, что в ответе Белинскому Гоголь уже упредил его. Он заявил в нём почти все будущие идеи и темы Достоевского. Он предрёк и появление “Бесов”, “Преступления и наказания”, “Братьев Карамазовых”. О чём эти романы? О том, что истина с Христом, а не с социализмом.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“Кто же, по-вашему, ближе и лучше может истолковать теперь Христа? Неужели нынешние коммунисты и социалисты, объясняющие, что Христос повелел отнимать имущества и грабить тех, кто нажил состояние?”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подумать, что это цитата из “Бесов”. На самом деле это пассаж из ответа Гоголя Белинскому.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Поворот молодого Достоевского к позднему Гоголю был уже близок, но ему предстояло пройти через смертный приговор, отмену казни и четыре года каторги.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Поразительно, что герой второго тома “Мёртвых душ”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Тентетников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 молодости оказавшийся в некоем тайном обществе, как и сам Достоевский (и его герой Алёша Карамазов), должен был за свои убеждения попасть в Сибирь.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Гоголь задолго до Достоевского осознал опасность увлечения молодежи социалистическими идеями и в “Выбранных местах”, а затем в споре с Белинским резко высказался на этот счёт.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именно эта книга, как и возникшая вокруг неё переписка, стали роковыми в судьбе Достоевского.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начало спора его с Гоголем находилось не здесь.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Г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оголь был кумир Достоевского с детских лет. Его книги и его портрет сопровождали Достоевского всюду. В тот вечер, когда он передал Некрасову рукопись “Бедных людей” — своей первой повести, то “пошёл к одному товарищу куда-то далеко”, “мы всю ночь проговорили с ним о “Мёртвых душах” и читали их, в который раз — не помню. Тогда это бывало между молодёжью: сойдутся двое или трое: “А не почитать ли нам, господа, Гоголя? — садятся и читают, и, пожалуй, всю ночь””.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Читать-то читали, но в “Бедных людях” повесть Гоголя “Шинель” названа “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пашквилем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”. Герой её Макар Девушкин навещает живущего по соседству литератора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Ратазяева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слушает в его исполнении сочинение, почерк которого нельзя не узнать: “Знаете ли вы Ивана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Прокофьевича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Желтопуза? Ну, вот тот самый, что укусил за ногу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Прокофия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Ивановича. Иван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Прокофьевич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человек крутого характера, но зато редких добродетелей; напротив того,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Прокофий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Иванович чрезвычайно любит редьку с мёдом. Вот когда ещё была с ним знакома Пелагея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Игнатьевна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а вы знаете Пелагею Игнатьевну? Ну, вот та самая, которая всегда юбку надевает наизнанку”.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поводу этого пассажа Макар Девушкин замечает: “Оно хоть и немного затейливо и уж слишком игриво, но зато невинно, без малейшего вольнодумства и либеральных мыслей”.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этом кратком комментарии — упрёк молодого “социалиста” Достоевского политически нейтральному Гоголю.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“Записках из подполья” Достоевский описывает одно из мечтаний своего героя, который представляет, как он отомстит и насолит своим обидчикам, превратившись из коллежского асессора в Наполеона. Тут, несомненно, пародия на гоголевского “испанского короля”. В воображаемом его торжестве прощупываются все сюжеты “Записок сумасшедшего”: и “фантастическая любовь”, и преображение в особу царской крови, и отмщение тем, кто его унижал.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вместе с тем тут не одна повесть Гоголя, но, скажем, и “Выбранные места из переписки с друзьями”, “Игроки”, “Рим” и так далее.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Наполеон, “подпольный” разбивает ретроградов под Аустерлицем (кстати, брат Наполеона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Жозеф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1808 по 1813 год был королем Испании), а затем действие переносится в милую Гоголю Италию. Ещё до этого герой Достоевского является самому себе “на белом коне” и “в лавровом венке” и “поёт итальянские арии”. А в Риме в честь своих побед он даёт “бал для всей Италии на вилле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Боргезе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— в непосредственной близости от того места, где снимал свою первую квартиру Гоголь. Пародийный текст Достоевского прозрачно включает в себя гоголевские словечки и метафоры, без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усилия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относящие нас к первоисточнику.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Зло осмеян сам идеал автора “Выбранных мест”, идеал “прекрасного и высокого”. Достоевский с меткостью замечает, как этот идеал повисает у его предшественника в воздухе и не в состоянии приложиться “ни к чему человеческому на деле”. А оттого ищет убежища в “совсем готовых” формах, “сильно украденных у поэтов и романистов”.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чем сильнее его “подпольный” раскаляется, тем бесспорней делается факт, что автор “Записок” пишет карикатуру на Гоголя, в частности на открывающую его книгу главу “Завещание”.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Читаем в “Записках из подполья”: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“Я... над всеми торжествую; все, разумеется,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прахе и принуждены добровольно признать все мои совершенства, а я всех их прощаю.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влюбляюсь, будучи знаменитым поэтом и камергером (ходили слухи, что Гоголь своей книгой хочет прислужиться двору.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И.З.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получаю несметные миллионы и тотчас же жертвую их на род человеческий (Гоголь отдал гонорар за “Мёртвые души” бедным студентам. —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И.З.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и тут же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исповедываюсь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перед всем народом в моих позорах (у Гоголя: “Не мне, худшему всех душою, страждущему тяжкими болезнями собственного несовершенства...” —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И.З.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которые, разумеется, не просто позоры, а заключают в себе чрезвычайно много “прекрасного и высокого”, чего-то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манфредовского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Одно это “чего-то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манфредовского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” наводит нас на источник, откуда герой Достоевского черпает желчь и яд.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Собачкин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гоголевском “Отрывке” хвастает, что у него иной раз появляется “даже что-то значительное в лице”. “Жаль только, что зубы скверные, — добавляет он, — а то бы вовсе был похож на Багратиона”. Хлестаков уверен, что в его глазах “есть что-то такое, что внушает робость”. А про “гусара” Глова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Утешительный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“Игроках” говорит: “Замечаешь,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Швохнев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у него глазки горят?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Барклай-де-тольевское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что-то видно”.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“Все плачут и целуют меня, — продолжает “подпольный”, — а я иду босой и голодный проповедовать новые идеи”. Ни дать ни взять Гоголь, который в “Выбранных местах” писал о пользе бедности и о том, что у него ничего нет, кроме походного чемодана.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В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предисловии к своей книге, которая стала мишенью для злейшей пародии в “Селе Степанчикове и его обитателях”, Гоголь не раз просит прощения у читателя, в свою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очередь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прощая тех, кто его обидел.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вдруг в его ищущую милости интонацию врывается звук, очень сходный с музыкальным мотивом “Записок из подполья”.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 пишет: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“Никто в такую минуту (то есть в минуту его покаяния.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И.З.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не посмеет не простить своего брата…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 xml:space="preserve">не должен </w:t>
      </w:r>
      <w:proofErr w:type="gramStart"/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посметь не простить</w:t>
      </w:r>
      <w:proofErr w:type="gramEnd"/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 xml:space="preserve"> меня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Гордыня и ещё раз гордыня (основная черта героя Достоевского) слышится в этой проскрипции.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Слова “Я завещаю” и “Я возвещаю” соединяются на страницах “Завещания”, давая подпольному человеку повод для самоиронии. Достоевский мастерски использует этот стилистический просчёт для компрометации “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высокого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прекрасного”. Тем более что автор “Выбранных мест” заканчивает главу “Завещание” прозаическим даже не пожеланием, а указанием: “Завещание моё немедленно по смерти моей должно быть напечатано во всех журналах и ведомостях”. Это и есть: “Я торжествую, все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прахе”, что Достоевский вкладывает в уста своего Наполеона–Манфреда.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ещё вспомнить, что главным антагонистом “антигероя” Достоевского является офицер по фамилии Зверков, то невольно приходит на ум, что фамилия эта взята неспроста, ибо также имеет отношение к Гоголю. В доме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Зверкова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на углу Столярного переулка и набережной Екатерининского канала — тот жил в 1829–1831 годах, и там же квартирует приятель сумасшедшего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Поприщина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 “играет на трубе”.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Заметим, что помимо иных сближений есть у героев “Записок сумасшедшего” и “Записок из подполья” одно капитальное сходство — оба они писатели. Об этом свидетельствуют как их “Записки”, так и повесть “подпольного”, которая была отвергнута журналом “Отечественные записки”. Именно в этом журнале, порвав с “Современником”, стал печататься молодой Достоевский.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же означают все эти совпадения, намёки, обмолвки и прицельный огонь автора “Записок из подполья” по автору “Записок сумасшедшего”?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К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ровную зависимость Достоевского от Гоголя.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Начав свою первую печатную вещь с пародии на “Шинель”, а также на стиль Гоголя в целом, Достоевский публикует “Село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Степанчиково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его обитатели” (1859), а через пять лет (год создания “Записок из подполья”) вновь использует образы Гоголя и его публицистику для демонстрации а) своей зависимости и б) своей независимости от постоянно давящего на него авторитета великого творца “побасёнок”.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Тут именно художественное давление, поэтические путы, от которых не может не желать освободиться “иной гений”. Необыкновенный интерес автора “Записок из подполья” к герою “Записок сумасшедшего” как к типу, а также к форме исповеди, к которой прибегает в этой повести Гоголь. У Гоголя “Записки сумасшедшего” в этом смысле стоят особняком. Во всех его сочинениях события излагает сам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автор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право на исповедь имеет только он. У Достоевского — фейерверк исповедей, превалирующая над всеми другими форма повествования.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Наконец, сумасшествие титулярного советника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Поприщина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есть предвестие анализа болезни сознания у Достоевского, сказавшего, что “слишком сознавать — это болезнь”. Это анализ хаоса сознания, столкновения “противоположных элементов” и “безумия”, овладевших человеком идей.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* *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У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спех “Бедных людей” вскружил Достоевскому голову. В.Н. Майков писал: “В ноябре и декабре 1845 года все литературные дилетанты ловили и перебрасывали отрадную новость о появлении нового огромного таланта. “Не хуже Гоголя”, кричали одни; “лучше Гоголя”, подхватывали другие; “Гоголь убит”,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вопили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третьи”.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Вокруг раздавалось: “Новый Гоголь явился!”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“новый Гоголь” вовсе не хотел быть тенью “старого” Гоголя.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Достоевский писал брату Михаилу: “Во мне находят новую, оригинальную струю (Белинский и прочие), состоящую в том, что я действую Анализом, а не Синтезом, то есть иду в глубину и, разбирая по атомам, отыскиваю целое, Гоголь ж берёт прямо целое и оттого не так глубок, как я”.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разговоре с И.С. Тургеневым он был ещё более резок, сказав, что ему никто не страшен и дай только время, он всех их в грязь затопчет. Речь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шла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том числе и о Гоголе.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 минет два года, и Достоевский уйдёт на каторгу совсем с другим настроением. Стоя на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эшафоте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Семёновском плацу и ещё не зная об отмене смертного приговора, он скажет Спешневу: “Мы будем с Христом”. Он уже разошёлся с Белинским, прежде всего в пункте о Христе, которого тот “ругал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по-матерну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 * *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С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транные совпадения устраивает иногда судьба. Дом, где 23 апреля 1849 года был арестован Достоевский, стоит в двух шагах от дома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Лепена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Малой Морской, где с 1833 по 1836 год жил творец “Ревизора” и где “Ревизор” был написан.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не эта аристократическая Адмиралтейская часть станет местом, где завяжутся трагические и трагикомические сюжеты Гоголя и Достоевского. Родина их фантазии — “канава” (так называли тогда Екатерининский канал), Мещанские улицы, Сенная площадь и прилегающие к ним переулки, дворы и толкучие рынки.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сентябре 1861 года, после возвращения с каторги, Достоевский поселится на Малой Мещанской улице, где, переезжая с квартиры на квартиру, проживёт без малого шесть лет.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Этот район знаком ему с 1846 года, когда он снимал квартиру на Большой Мещанской, в доме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Кохендорфа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двух шагах от дома, где в начале 1829 года обитал тогда никому не известный Гоголь.</w:t>
      </w:r>
      <w:proofErr w:type="gramEnd"/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писал здесь “Вечера”, но в воображении его уже рисовались типы обитателей петербургских чердаков. Он и поселит их здесь, в петле Мещанских улиц, из которой им уже, кажется, не вырваться, как бы высоко ни взлетала их мечта.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Впрочем, мечта мечте рознь.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в “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плохоньком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трактиришке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студент Раскольников, жаждущий сравняться с Наполеоном, подслушает разговор, который озвучит его тайные помыслы:</w:t>
      </w:r>
    </w:p>
    <w:p w:rsidR="007E1708" w:rsidRPr="007E1708" w:rsidRDefault="007E1708" w:rsidP="007E1708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“С одной стороны, глупая, бессмысленная, ничтожная, злая, больная старушонка, никому не нужная и, напротив, всем вредная, которая сама не знает, зачем живёт, и которая завтра сама же собой умрёт...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другой стороны, молодые свежие силы, пропадающие даром без поддержки, и это тысячами, и это всюду! Сто, тысячу добрых дел и начинаний, которые можно поправить на старухины деньги, обречённые в монастырь!.. Убей её и возьми её деньги, с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с их помощью посвятить себя на служение всему человечеству...”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Идея Раскольникова о том, что через убийство можно прийти к счастливому будущему, — это уже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новый вид мечтательности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даже в безумии никогда не посещавшей героев Гоголя,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кстати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таких же бедняков, как и Раскольников. Но их разделяет эпоха. Эпоху романтизма сменяет эпоха терроризма, когда “романтическая” идея окрашивается кровью.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Известно, как был потрясён Достоевский событием, происшедшим 4 апреля 1866 года. Студент Каракозов стрелял в царя. Когда его схватили, при нем было обнаружено: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1) фунт пороха и пять пуль,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2) стеклянный пузырёк с синильной кислотой, порошок в два грана стрихнина и восемь порошков морфия.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помощью этих ядов он должен был или обезобразить себе лицо, чтоб остаться неузнанным, или покончить с собой. По существу, это был первый русский террорист-камикадзе.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Студент-террорист исходил из той же посылки, что и Раскольников. Примечательно, что роман “Преступление и наказание” начал печататься в “Русском вестнике” за три месяца до выстрела Каракозова. Трагические сюжеты литературы вышли за пределы печатного листа и сделались трагической реальностью.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Романтики Гоголя могли мечтать о том, чтобы приобрести новую шинель, сорвать куш в картах, жениться на красавице, они могли грезить даже о королевской мантии, но им и в страшном сне не могли присниться такие сюжеты.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Есть среди них плуты,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пройдохи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отчаянные лгуны, даже сумасшедшие, но убийц, раскраивавших черепа старушкам, у Гоголя нет.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Каракозов и Раскольников дети уже другого века — века Достоевского, в котором “гордость ума” смыкается с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уголовщиной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Тут не обида Акакия Акакиевича и не детские фантазии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Поприщина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Чичикова, тут</w:t>
      </w:r>
      <w:proofErr w:type="gramStart"/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“с</w:t>
      </w:r>
      <w:proofErr w:type="gramEnd"/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трашная месть” “маленького человека”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колдун в гоголевской “Страшной мести” способен был зарезать внука, дочь и святого схимника, но он — герой сказки, оборотень, вампир.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 Достоевского это человек улицы, подвала, человек толпы. Эпоха Достоевского — это эпоха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кризиса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поэтического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романтизма и перехода его в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материалистический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(или революционный) романтизм.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Зачем наведывается в Столярный переулок гоголевский титулярный советник? Чтоб выкрасть переписку собачек и узнать из неё что-то из жизни обожаемой генеральской дочки. Никакого разврата воображения, никакой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мысли о топоре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Только жалкий вопль: “Почему я не камер-юнкер и не генерал? Почему я титулярный советник?”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Герой Гоголя и сам бы хотел стать генералом, герой Достоевского желает — ни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больше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 меньше — встать над Богом. “Свету ли провалиться, — вопрошает он, — или мне вот чаю не пить? Я скажу, что свету провалиться, а чтоб мне чай пить”.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Существует миф, легенда, апокриф, приписывающие Достоевскому слова: “Все мы вышли из гоголевской “Шинели””. Он этого не говорил. Он, конечно, вышел из гоголевской “Шинели”, но не только и не столько из неё, сколько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из всего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Гоголя, в том числе и из осмеянной им “Переписки”. Будущие подпольные теоретики Достоевского угаданы именно в этой книге.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Вот характеристика, данная Гоголем главной болезни, которой больны нигилисты Достоевского: “Всё вынесет человек века, над всем позволит посмеяться — только не позволит посмеяться над умом своим. Ум его для него — святыня... Ничему и ни во что он не верит, только верит в один ум свой... И тень христианского смирения не может к нему прикоснуться из-за гордыни ума. Во всем он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усумнится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в сердце человека, в правде, в Боге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усумнится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не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усумнится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уме своём... Нет, не чувственные страсти, но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страсти ума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уж начались. Поразительно: в то время, когда уже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было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начали думать люди, что образованьем выгнали злобу из мира,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злоба другой дорогой, с другого конца входит в мир — дорогой ума”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(курсив мой. —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И.З.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герои романов Достоевского, как не страсти ума или идеи, обретшие человеческий облик?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Гоголь страшился спуститься на самое дно “душевной черноты”. Достоевский это делает. Он сходит со своим фонарём в её глубину. Его анализ пробивает слои темноты, составляющие фантастический мир подполья. То, с чего начинает Гоголь, Достоевский превращает в науку высвечивания тайн сердца: “Надо изображать действительность, как она есть, говорят они, тогда как такой действительности совсем нет... Нам знакомо одно лишь насущное, видимо-текущее, да и то по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наглядке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концы и начала — это всё ещё пока для человека фантастическое”.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Отрываясь от Гоголя, уходя дальше, он не расстаётся с учителем ни на минуту: его письма, страницы его книг полны цитатами из “Ревизора” и “Мёртвых душ”. Он, наконец, играет в пьесах Гоголя, изображая то почтмейстера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Шпекина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 несостоявшегося жениха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Подколесина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он выбирает эти роли?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 что они оглушительно смешны, потому что “чистый смех” Гоголя, как выражался Достоевский, здесь представлен в совершенстве. Позже он писал: “Явилась смеющаяся маска Гоголя, со страшным могуществом смеха — с могуществом, не выражавшимся так сильно ещё никогда, ни в ком, нигде, ни в чьей литературе с тех пор, как создавалась земля. И вот после этого смеха Гоголь умирает пред нами, уморив себя сам, в бессилии создать и в точности определить себе идеал, над которым он бы не мог смеяться”.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Достоевский относил писания Гоголя к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сатире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Позволим себе не согласиться с ним. Не соглашался с такой трактовкой и сам Гоголь. “Я думал, как дитя, я обманулся некоторыми: я думал, что в некоторой части читателей есть какая-то любовь, — признавался он в “Авторской исповеди” (1848). — Я не знал ещё тогда, что моё имя в ходу только затем, чтобы попрекнуть друг друга и посмеяться друг над другом. Я думал, что многие сквозь самый смех слышат мою добрую натуру, которая смеялась вовсе не из злобного желанья”.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не был провокаторский смех Лебедева из “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Идиота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или подстрекающее “хи-хи-хи” Порфирия Петровича, заставившее Раскольникова признаться в убийстве. Смех Гоголя был смех старой эпохи, когда ирония безверия ещё не восторжествовала в России.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Д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остоевский не дожил до 1 марта 1881 года. В этот день на “канаве”, где прогуливался когда-то сентиментальный герой “Белых ночей”, была убита не какая-то старушка, а царь Александр II. Романтики-декабристы не решились посягнуть на жизнь венценосца, романтики-материалисты не дрогнули.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Вздрогнула и разорвалась на части, как бомба </w:t>
      </w:r>
      <w:proofErr w:type="spell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Гриневицкого</w:t>
      </w:r>
      <w:proofErr w:type="spell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юношеская мечта Достоевского, которую он сам попрал, заплатив за неё каторгой.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Почему-то никто в 2001 году не вспомнил об этой дате. Никто не упомянул, что сто двадцать лет назад сбылись худшие пророчества двух гениев. И никто не сказал, что оставшийся целым после взрыва первой бомбы царь не бежал с места события, а вышел из кареты, чтоб помочь раненым.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Он, может быть, был последний поэтический романтик на троне, этот царь. С его смертью в России настали кровавые времена. Последовала череда политических убийств на идейной почве, которые приняли масштаб тотального уничтожения народа.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Сравним два памятника — Гоголю Н.Андреева и Достоевскому С.Меркурова — в Москве. Если на лице Гоголя безраздельная печаль, то в фигуре Достоевского — судорога, почти эпилептический приступ. И не одни собственные грехи или собственная вина (а они их чувствовали) исказили их черты, а грехи всех нас.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было досады у ученика на учителя, сколько язвящих реплик он отпустил по его адресу, говоря, что тот надел “золотой фрак” и “не вынес своего величия”, но с годами всё скрепилось нерасторжимой связью.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Отзываясь о повести Тургенева “Призраки”, Достоевский писал: “Есть тоска развитого и сознающего существа, живущего в наше время.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Это</w:t>
      </w:r>
      <w:r w:rsidRPr="007E1708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1708">
        <w:rPr>
          <w:rFonts w:ascii="Times" w:eastAsia="Times New Roman" w:hAnsi="Times" w:cs="Times"/>
          <w:i/>
          <w:iCs/>
          <w:color w:val="000000"/>
          <w:lang w:eastAsia="ru-RU"/>
        </w:rPr>
        <w:t>струна звенит в тумане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 хорошо делает, что звенит”.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Откуда эта струна? Она звенит в финале “Записок сумасшедшего”. Она звенит, как ответ неба на призыв “испанского короля” спасти его. Это музыка любви, чей звук всегда сопутствовал смеху Гоголя.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75003A"/>
          <w:sz w:val="48"/>
          <w:szCs w:val="48"/>
          <w:lang w:eastAsia="ru-RU"/>
        </w:rPr>
        <w:t>21</w:t>
      </w: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февраля 1852 года в 8 часов утра Гоголь умирает. Его хоронят на кладбище Данилова монастыря. Достоевский в это время в омском остроге.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и не встретились они никогда. Так и разошлись, прожив на земле бок </w:t>
      </w:r>
      <w:proofErr w:type="gramStart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бок</w:t>
      </w:r>
      <w:proofErr w:type="gramEnd"/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тридцать лет и не увидев друг друга в лицо.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зато как мощно прогремели их сливающиеся голоса! Их трагические сюжеты выстроились как трагический сюжет России, блуждающей по путям греха.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пусть она всё ещё не сошла с этих путей. Но струна в тумане звенит и для неё.</w:t>
      </w:r>
    </w:p>
    <w:p w:rsidR="007E1708" w:rsidRPr="007E1708" w:rsidRDefault="007E1708" w:rsidP="007E17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1708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Работа выполнена при финансовой поддержке РГНФ.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E1708"/>
    <w:rsid w:val="004A3CBF"/>
    <w:rsid w:val="007E1708"/>
    <w:rsid w:val="009C7992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1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1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708"/>
    <w:rPr>
      <w:b/>
      <w:bCs/>
    </w:rPr>
  </w:style>
  <w:style w:type="character" w:customStyle="1" w:styleId="apple-converted-space">
    <w:name w:val="apple-converted-space"/>
    <w:basedOn w:val="a0"/>
    <w:rsid w:val="007E1708"/>
  </w:style>
  <w:style w:type="character" w:styleId="a5">
    <w:name w:val="Emphasis"/>
    <w:basedOn w:val="a0"/>
    <w:uiPriority w:val="20"/>
    <w:qFormat/>
    <w:rsid w:val="007E1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3382</Words>
  <Characters>19278</Characters>
  <Application>Microsoft Office Word</Application>
  <DocSecurity>0</DocSecurity>
  <Lines>160</Lines>
  <Paragraphs>45</Paragraphs>
  <ScaleCrop>false</ScaleCrop>
  <Company>Microsoft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2014-02-15T17:02:00Z</dcterms:modified>
</cp:coreProperties>
</file>