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0" w:rsidRPr="009F5BE0" w:rsidRDefault="009F5BE0" w:rsidP="009F5BE0">
      <w:r w:rsidRPr="009F5BE0">
        <w:fldChar w:fldCharType="begin"/>
      </w:r>
      <w:r w:rsidRPr="009F5BE0">
        <w:instrText xml:space="preserve"> HYPERLINK "http://lit.1september.ru/article.php?ID=200900603" </w:instrText>
      </w:r>
      <w:r w:rsidRPr="009F5BE0">
        <w:fldChar w:fldCharType="separate"/>
      </w:r>
      <w:r w:rsidRPr="009F5BE0">
        <w:rPr>
          <w:rStyle w:val="a3"/>
        </w:rPr>
        <w:t xml:space="preserve">Галина </w:t>
      </w:r>
      <w:proofErr w:type="spellStart"/>
      <w:r w:rsidRPr="009F5BE0">
        <w:rPr>
          <w:rStyle w:val="a3"/>
        </w:rPr>
        <w:t>Ребель</w:t>
      </w:r>
      <w:proofErr w:type="spellEnd"/>
      <w:r w:rsidRPr="009F5BE0">
        <w:rPr>
          <w:rStyle w:val="a3"/>
        </w:rPr>
        <w:t>. "Иван Бунин: страницы судьбы и творчества" (N6/2009)</w:t>
      </w:r>
      <w:r w:rsidRPr="009F5BE0">
        <w:fldChar w:fldCharType="end"/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B60A78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Иван Бунин: страницы судьбы и творчества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color w:val="6F3F01"/>
          <w:sz w:val="72"/>
          <w:lang w:eastAsia="ru-RU"/>
        </w:rPr>
        <w:t>Т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ворческий портрет писателя на уроке литературы — это не биография и не анализ творчества, но отчасти и то и другое, это способ представить художника в разных его ипостасях — чтобы заинтересовать аудиторию, задать нужную интонацию, создать соответствующую атмосферу.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По опыту работы со студентами на педагогической практике знаю, что со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здание атмосферы даётся им едва ли не труднее всего остального, ибо это ситуация, в которой учитель не просто информирует или спрашивает, а — задаёт тон, формирует стиль, дух всего последующего разговора, нащупывает тот единственный нужный звук, с которого для Бунина, по его собственному признанию, и начиналось художественное произведение.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Здесь очень важна мера: с одной стороны, нужно вывести детей из обыденно-простецкого (в том числе просторечного) состояния повседневности, с другой — ни в коем случае не перебрать с пафосом, не впасть в искусственный лиризм, не допустить вместо точного звука фальшивой ноты.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Есть ещё одна особенность такого урока: он от первого и до последнего слова готовится и расписывается (распределяется по текстам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–“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ролям”) заранее, как литературная композиция. Но вместе с тем он остаётся уроком, а соответственно не только допускает, но и предполагает импровизацию — учительские и ученические реплики и размышления по поводу, комментарии, вопросы, замечания, возвращение вспять, необходимое уклонение в сторону. Одним словом, именно на уроке домашние заготовки должны сложиться в живую, цельную и яркую картину — творческий портрет писателя. </w:t>
      </w:r>
    </w:p>
    <w:p w:rsidR="00B60A78" w:rsidRPr="00B60A78" w:rsidRDefault="00B60A78" w:rsidP="00B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6865" cy="4301490"/>
            <wp:effectExtent l="19050" t="0" r="635" b="0"/>
            <wp:docPr id="1" name="Рисунок 1" descr="http://lit.1september.ru/2009/0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2009/06/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78" w:rsidRPr="00B60A78" w:rsidRDefault="00B60A78" w:rsidP="00B60A78">
      <w:pPr>
        <w:shd w:val="clear" w:color="auto" w:fill="FFFFFF"/>
        <w:spacing w:before="43" w:after="85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И.А. Бунин. Париж. 5 июля 1948 г.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Предлагаемый далее материал — это и есть домашняя заготовка. Как распределить его между учениками, в каком порядке выстроить, каков должен быть объём знаний ученика и степень его самостоятельности при обращении к тому или иному источнику, — учитель решает сообразно с обстоятельствами, то есть в соответствии с подготовленностью класса и временем, которым он располагает для работы над темой.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ещё одна настоятельная рекомендация: в ходе подготовки к этому уроку дети должны по учебнику прочитать и законспектировать в виде хронологической таблицы биографию И.А. Бунина, чтобы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импрессионистически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набрасываемые “штрихи к портрету” соотносились с чёткой историко-биографической рамкой и укладывались в неё.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color w:val="6F3F01"/>
          <w:sz w:val="72"/>
          <w:lang w:eastAsia="ru-RU"/>
        </w:rPr>
        <w:t>Р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азмышляя над творчеством Ивана Алексеевича Бунина после октябрьской катастрофы 1917 года, читая то, что писали о нём в советской печати,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перечитывая то, что писал он, вдруг понимаешь, что здесь — противостояние не только идеологическое, а —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стилистическое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Противостояние культуры —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хамству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достоинства — холуйству, цивилизации — варварству.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Бунин ни на минуту не поддался революционному соблазну, изначально очень трезво и точно увидел и оценил большевистский переворот и последовавшие за ним события. Недоумением и негодованием, болью и гневом дышит его документальная повесть-дневник 1917–1919 годов «Окаянные дни».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“Революция — стихия…” — с горькой иронией цитирует он Блока, какое-то время пытавшегося к этой стихии приноровиться, оправдать и принять её неизбежность. Эта наивная жажда заблуждения — между прочим, очень точно запечатлённая Борисом 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Пастернаком в «Докторе Живаго», — вызывает у Бунина негодующую отповедь: “Землетрясение, чума, холера тоже стихии. Однако никто не прославляет их, никто не канонизирует, с ними борются. А революции всегда «углубляют»”</w:t>
      </w:r>
      <w:hyperlink r:id="rId5" w:anchor="1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И ещё резче: “«Блок слышит Россию и революцию, как ветер…» О, словоблуды! Реки крови, море слёз, а им всё нипочём”</w:t>
      </w:r>
      <w:hyperlink r:id="rId6" w:anchor="2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Гневная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бунинская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реакция на интеллигентское благодушно-бездумное революционное словоблудие была очень точно предсказана Иваном Сергеевичем Тургеневым более чем за полвека до национальной катастрофы. “Мы ломаем, потому что мы сила. &lt;…&gt; Да, сила, так и не даёт отчёта”, — с пафосом повторяет только что усвоенный нигилистический урок, который он, к счастью, вскоре навсегда выбросит из головы, Аркадий Кирсанов. На что его “устаревший”, чуждый прогрессистским воззрениям дядя Павел Петрович, не делая никаких скидок на молодую глупость племянника и кажущуюся незыблемость мира, которому они оба принадлежат, совершенно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по-бунински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взорвался — “возопил”: “Несчастный! &lt;…&gt; Хоть бы ты подумал, что в России ты поддерживаешь твоею пошлою сентенцией! Нет, это может ангела из терпения вывести! Сила! И в диком калмыке, и в монголе есть сила — да на что нам она? Нам дорога цивилизация, да-с, да-с, милостивый государь; нам дороги её плоды. И не говорите мне, что эти плоды ничтожны: последний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пачкун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un</w:t>
      </w:r>
      <w:proofErr w:type="spell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barbouilleur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тапёр, которому дают пять копеек за вечер, и те полезнее вас, потому что они представители цивилизации, а не грубой монгольской силы!” («Отцы и дети», Х).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Поразительные бывают переклички — не литературными изысками и играми, а самой жизнью созданные. От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Аркадиева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лозунга (ещё раз уточним: для самого Аркадия это была лишь фраза, минутное заблуждение) — рукой подать до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блоковского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так мощно написанного и такого зловещего по сути вызова всё тому же цивилизованному миру.</w:t>
      </w:r>
    </w:p>
    <w:p w:rsidR="00B60A78" w:rsidRPr="00B60A78" w:rsidRDefault="00B60A78" w:rsidP="00B60A7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Мильоны</w:t>
      </w:r>
      <w:proofErr w:type="spell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 — вас. Нас — тьмы, и тьмы,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тьмы.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Попробуйте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сразитесь с нами!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Да, скифы — мы! Да, азиаты — мы,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 раскосыми и жадными очами!</w:t>
      </w:r>
      <w:hyperlink r:id="rId7" w:anchor="3" w:history="1">
        <w:r w:rsidRPr="00B60A78">
          <w:rPr>
            <w:rFonts w:ascii="Verdana" w:eastAsia="Times New Roman" w:hAnsi="Verdana" w:cs="Times New Roman"/>
            <w:i/>
            <w:iCs/>
            <w:color w:val="6F3F01"/>
            <w:sz w:val="15"/>
            <w:u w:val="single"/>
            <w:vertAlign w:val="superscript"/>
            <w:lang w:eastAsia="ru-RU"/>
          </w:rPr>
          <w:t>3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гневное предчувствие Павла Петровича обернулось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бунинским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прозрением: “Вот встанет бесноватых рать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// И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как Мамай, всю Русь пройдёт…”</w:t>
      </w:r>
      <w:hyperlink r:id="rId8" w:anchor="4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4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и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бунинским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отчаянием: “В этом мире, в их мире, в мире поголовного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хама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зверя мне ничего не нужно…”</w:t>
      </w:r>
      <w:hyperlink r:id="rId9" w:anchor="5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5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Повторимся: со стороны Бунина это было не только идеологическое, нравственное неприятие — это было аккумулирующее идеологию и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мораль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переплавляющее их в образ и слово неприятие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стилистическое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Это неприятие можно “пощупать” и увидеть: «Окаянные дни» изобилуют цитатами из большевистских газет, листовок, объявлений, которые носят такой убийственно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саморазоблачительный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характер, что и в комментариях не нуждаются. Столь же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саморазоблачительно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красноречивы типажи, предстающие на страницах книги.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Вот, например, портрет героя революции: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“Говорит, кричит, заикаясь со слюной во рту, глаза сквозь криво висящее пенсне кажутся особенно яростными.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Галстучек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высоко вылез сзади на грязный бумажный воротничок. Жилет донельзя запакощенный, на плечах кургузого пиджачка — перхоть, сальные жидкие волосы всклокочены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… И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меня уверяют, что эта гадюка одержима будто бы «пламенной, беззаветной любовью к человеку», «жаждой красоты, добра и справедливости»!”</w:t>
      </w:r>
      <w:hyperlink r:id="rId10" w:anchor="6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6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Приглядишься — и не столько даже в отдельных деталях, сколько в общем ощущении от облика и поведения революционного деятеля узнаёшь…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Ситникова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Напрасно Базаров не принимал его всерьёз.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вот такая уличная сценка: “…Мерзкий день с дождём, снегом, грязью. — Москва, прошлый год, конец марта. Через Кудринскую площадь тянутся бедные похороны — и вдруг бешено стреляя мотоциклетом, вылетает с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Никитской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животное в кожаном картузе и кожаной куртке, на лету грозит, машет огромным револьвером и обдаёт грязью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несущих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гроб: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— Долой с дороги!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Несущие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шарахаются в сторону и, спотыкаясь, тряся гроб, бегут со всех ног”</w:t>
      </w:r>
      <w:hyperlink r:id="rId11" w:anchor="7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7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Тоже вполне узнаваемый персонаж: Шариков — так ведь и сказано — животное.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Революция, взломавшая тонкую культурную оболочку бытия, вынесла уродство на поверхность жизни, сделала его несовместимой с цивилизованным существованием нормой. Так видит это Бунин, в свою очередь несовместимый с теми, что “поднимались из тьмы погребов”</w:t>
      </w:r>
      <w:hyperlink r:id="rId12" w:anchor="8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8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не только глубинно,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сущностно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но и внешне.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Всмотритесь в фотографии: точёные черты лица, умный, пристальный взгляд, благородство и красота облика, которые с возрастом словно очищались от всего лишнего, суетного, усугуб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лялись, усиливались. При взгляде на портреты зрелого Бунина невольно всплывает в памяти: “лицо его, желчное, но без морщин, необыкновенно правильное и чистое, словно выведенное тонким и лёгким резцом, являло следы красоты замечательной”. Ну конечно, Павел Петрович Кирсанов. И сходство здесь отнюдь не только портретное. Это сходство по преемственности, по духовному аристократизму, благородству, достоинству.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color w:val="6F3F01"/>
          <w:sz w:val="72"/>
          <w:lang w:eastAsia="ru-RU"/>
        </w:rPr>
        <w:t>М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ы начали разговор о Бунине с обращения к его книге «Окаянные дни».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Без неё невозможно понять не только Бунина, в творческом наследии которого эта книга — своеобразный контрастный камертон к другим, исполненным высокого лиризма творениям, без неё невозможно понять этот самый “типичный русский характер”, то есть самих себя, историю своей страны, свой сегодняшний день, невозможно очистить своё завтра от последствий запечатлённой в «Окаянных днях» катастрофы. </w:t>
      </w:r>
      <w:proofErr w:type="gramEnd"/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“Эти писания мы решительно отвергаем”, — открещивался от “реакционных”, “белоэмигрантских”, “монархистских” высказываний Бунина А.Т. Твардовский в своей статье 1956 года — предисловии к первому послеоктябрьскому отечественному собранию сочинений И.А. Бунина.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Тогда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говорить и писать о Бунине без подобных оговорок было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нельзя. На волне перестройки «Окаянные дни» на какое-то время едва ли не затмили остальные произведения писателя. А сегодня возникла новая опасность: вместо перестроечного жадного интереса к “запретной” истории и литературе — к правде, по которой, казалось, так изголодались, распространилось какое-то всеядное равнодушие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всеприятия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фоне вялотекущей, но очень настойчивой тенденции к реставрации советских идеологических символов в чудовищно-пародийном сочетании с символами антисоветскими, и всё это — в “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глянцево-гламурном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 исполнении.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результате — очередная разруха в головах, преодолеть которую возможно только пристальным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вглядыванием-вчитыванием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незамутнённые ложью источники, к каковым относится и творчество Бунина. </w:t>
      </w:r>
      <w:proofErr w:type="gramEnd"/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Есть, конечно, в «Окаянных днях» вполне понятные эмоциональные перехлёсты, есть безудержная ярость по отношению к большевикам: “Какая у всех свирепая жажда их погибели! — пишет Бунин от лица своих единомышленников. — Нет той самой страшной библейской казни, которой мы не желали бы им. Если бы в город ворвался хоть сам дьявол и буквально по горло ходил в их крови, половина Одессы рыдала бы от восторга”</w:t>
      </w:r>
      <w:hyperlink r:id="rId13" w:anchor="9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9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Страшные строки. Тем более страшные, что принадлежат они великому художнику, гуманисту. Но рядом с ними — глубокое, пронзительно честное понимание всенародной общенациональной вины, прямо адресованное сегодняшнему читателю, который по-прежнему блуждает в потёмках собственной истории: “«левые» все эксцессы революции валят на старый режим, «черносотенцы» — на евреев. А народ не виноват!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Да и сам народ будет впоследствии валить всё на другого — на соседа и на еврея: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«Что ж я? Что Илья, то и я. Это нас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жиды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всё это дело подбили»…”</w:t>
      </w:r>
      <w:hyperlink r:id="rId14" w:anchor="10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10</w:t>
        </w:r>
        <w:proofErr w:type="gramStart"/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другом месте — курсивом: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“Как забыть, как это простить русскому народу?”</w:t>
      </w:r>
      <w:hyperlink r:id="rId15" w:anchor="11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11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color w:val="6F3F01"/>
          <w:sz w:val="72"/>
          <w:lang w:eastAsia="ru-RU"/>
        </w:rPr>
        <w:t>Н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арод, его судьба, судьба России — об этом Бунин думал, этим воодушевлялся, озадачивался, терзался всю жизнь.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 своей художественной автобиографии — «Жизнь Арсеньева» — писатель вспоминает, как однажды в детстве к нему впервые пришло понимание чувства национальной гордости — по-детски абсолютной, безусловной гордости тем, что “мы &lt;…&gt; русские, подлинно русские, что мы живём той совсем особой, с виду скромной жизнью, которая и есть настоящая русская жизнь и лучше которой нет и не может быть, ибо ведь скромна-то она только с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виду, а на деле обильна, как нигде, есть законное порожденье исконного духа России, а Россия богаче, сильней, праведней и славней всех стран в мире”</w:t>
      </w:r>
      <w:hyperlink r:id="rId16" w:anchor="12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А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по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прошествии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многих лет герой книги, как и многие его соотечественники, задавался неразрешимыми вопросами: куда делась эта национальная гордость, когда “Россия гибла”? “Как не отстояли мы всего того, что так гордо называли мы русским, в силе и правде чего мы, казалось, были так уверены?”</w:t>
      </w:r>
      <w:hyperlink r:id="rId17" w:anchor="13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13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Вопросы уводили вглубь — в перипетии истории, в тайны национального характера. И вновь возвращали к трагическим событиям революционного перелома. И порождали новые вопросы: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“Почему, в самом деле, влачил жалкое существование русский мужик, всё-таки владевший на великих просторах своих таким богатством, которое и не снилось европейскому мужику, а своё безделье, дрёму, мечтательность и всякую неустроенность оправдывавший только тем, что не хотели отнять для него лишнюю пядь земли от соседа помещика, и без того с каждым годом скудевшего?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Почему алчное купеческое стяжание то и дело прерывалось дикими размахами мотовства с проклятиями этому стяжанию, с горькими пьяными слезами о своём окаянстве и горячечными мечтами по своей собственной воле стать Иовом, бродягой, босяком, юродом? И почему вообще случилось то, что случилось с Россией, погибшей на наших глазах в такой волшебно короткий срок?”</w:t>
      </w:r>
      <w:hyperlink r:id="rId18" w:anchor="14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14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Эти размышления из «Жизни Арсеньева» через раскалённые строки «Окаянных дней» восходят к идеям и образам ошеломившей читателей в 1909 году повести «Деревня».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“Господи Боже, что за край! — с тоской и недоумением размышляет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бунинский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герой. — Чернозём на полтора аршина, да какой! А пяти лет не проходит без голода. Город на всю Россию славен хлебной торговлей, — ест же этот хлеб досыта сто человек во всём городе. А ярмарка? Нищих,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дурачков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слепых и калек — да всё таких, что смотреть страшно и тошно, — прямо полк целый!”; “Эх и нищета же кругом! Дотла разорились мужики, трынки не осталось в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оскудевших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усадьбишках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раскиданных по уезду… Хозяина бы сюда, хозяина!”</w:t>
      </w:r>
      <w:hyperlink r:id="rId19" w:anchor="15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15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 этого пристального многолетнего вглядывания и рождались глубокие и точные оценки: “Есть два типа в народе. В одном преобладает Русь, в другом — Чудь, Меря. Но и в том, и в другом есть страшная переменчивость настроений, обликов, «шаткость», как говорили в старину. Народ сам сказал про себя: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«из нас, как из древа — и дубина,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и икона»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 — в зависимости от обстоятельств, от того, кто это древо обрабатывает: Сергий Радонежский или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Емелька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Пугачёв”</w:t>
      </w:r>
      <w:hyperlink r:id="rId20" w:anchor="16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16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Но не только запустение и нищету, “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идиотизм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деревенской жизни”, не только шаткость и зыбкость народного духа и народного характера видел и описывал Бунин. Детство, проведённое в “великой глуши” русского захолустья, ощущение необъятности родных просторов, сопричастности природному миру — всё это питало поэзией, наполняло незабываемыми впечатлениями душу будущего художника.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В «Жизни Арсеньева» читаем: “И вот я расту, познаю мир и жизнь в этом глухом и всё же прекрасном краю, в долгие дни его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… П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омню: солнце пекло всё горячее траву и каменное корыто на дворе, воздух всё тяжелел, тускнел, облака сходились всё медленнее и теснее и, наконец, стали подёргиваться острым малиновым блеском, стали где-то в самой глубокой и звучной высоте своей погромыхивать, а потом греметь, раскатываться гулким гулом и разражаться мощными ударами, да всё полновеснее, величавей, великолепнее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… О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как я уже чувствовал это божественное великолепие мира и Бога, над ним царящего и его создавшего с такой полнотой и силой вещественности!”</w:t>
      </w:r>
      <w:hyperlink r:id="rId21" w:anchor="17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17</w:t>
        </w:r>
      </w:hyperlink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(Здесь уместна лаконичная биографическая справка о ранних годах жизни писателя, о его “малой” родине — хуторе </w:t>
      </w:r>
      <w:proofErr w:type="spell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Бутырки</w:t>
      </w:r>
      <w:proofErr w:type="spell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 Ельце, где протекало детство.)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Есть в рассказе о детстве Арсеньева хорошо знакомая нам по другой книге картина: “…Я помню весёлые обеденные часы нашего дома, обилие жирных и сытных блюд, зелень, блеск и тень сада за раскрытыми окнами, много прислуги, много гончих и собак, лезущих в дом, в растворённые двери, много мух и великолепных бабочек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… П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омню, как сладко спала вся усадьба в послеобеденное время…”</w:t>
      </w:r>
      <w:hyperlink r:id="rId22" w:anchor="18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18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Это ведь классическая Обломовка. Но не барской леностью, не немощью и бессилием, а незабываемыми поэтическими впечатлениями, чувством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укоренённости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защищённости, свободным полётом фантазии одарила она И.А. Бунина. Здесь черпал он краски и звуки, ощущения и впечатления, которые годы спустя переплавились в поэтические образы.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(Ученики читают стихотворения Бунина: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«Детство», «Молодость», «Листопад» (отрывок), «Нет солнца, но светлы пруды…», «Ещё и холоден, и сыр февральский воздух…», «Вечер».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Хорошо, если на экране в это время сменяют друг друга картины среднерусской природы.)</w:t>
      </w:r>
      <w:proofErr w:type="gramEnd"/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Эти лёгкие, пронизанные светом, согретые солнечным теплом, утешительные, обнадёживающие поэтические строки написаны в разные годы, но навеяны атмосферой детства.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“Событием страшным и огромным”</w:t>
      </w:r>
      <w:hyperlink r:id="rId23" w:anchor="19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19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стала первая в жизни мальчика смерть, и мысль о ней никогда уже не покидала Бунина, определив одну из главных тем его творчества.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Тогда же, в детстве, впервые пришло и навсегда поселилось в душе чувство личной причастности к мировой истории, бессмертия собственной души.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“Картинки в «Робинзоне» и «Всемирном путешественнике», а вместе с ними большая пожелтевшая карта земного шара с великими пустотами южных морей и точками полинезийских островов пленили меня уже на всю жизнь. Эти узкие пироги, нагие люди с луками и дротиками, кокосовые леса, лопасти громадных листьев и первобытная хижина под ними — всё чувствовал я таким знакомым, близким, словно только что покинул я эту хижину, только вчера сидел возле неё в райской тишине сонного послеполуденного часа. Какие сладкие и яркие виденья и какую настоящую тоску по родине пережил я над этими картинками! &lt;…&gt;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тамбовском поле, под тамбовским небом, с такой необыкновенной силой вспомнил я всё, что я видел, чем я жил когда-то, в своих прежних, незапамятных существованиях, что впоследствии, в 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Египте, в Нубии, в тропиках, мне оставалось только говорить себе: да, да, всё это так, как я впервые «вспомнил» тридцать лет тому назад!”</w:t>
      </w:r>
      <w:hyperlink r:id="rId24" w:anchor="20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20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End"/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Эти переживания отлились в точную и яркую поэтическую формулу:</w:t>
      </w:r>
    </w:p>
    <w:p w:rsidR="00B60A78" w:rsidRPr="00B60A78" w:rsidRDefault="00B60A78" w:rsidP="00B60A7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человек: как Бог, я обречён</w:t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ознать тоску всех стран и всех времён.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 этим чувством связан и дар сопряжения, которым был наделён Бунин, — умение видеть глубинную взаимосвязь и взаимозависимость всего сущего.</w:t>
      </w:r>
    </w:p>
    <w:p w:rsidR="00B60A78" w:rsidRPr="00B60A78" w:rsidRDefault="00B60A78" w:rsidP="00B60A7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Плакала ночью вдова: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Нежно любила ребёнка, но умер ребёнок.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Плакал и старец-сосед, прижимая к глазам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рукава,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Звёзды светили, и плакал в закуте козлёнок.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Плакала мать по ночам.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Плачущий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ночью к слезам побуждает другого: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Звёзды слезами текут с небосклона ночного,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Плачет Господь, рукава прижимая к очам.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color w:val="6F3F01"/>
          <w:sz w:val="72"/>
          <w:lang w:eastAsia="ru-RU"/>
        </w:rPr>
        <w:t>В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творчестве Бунина поражает, пронзает душу острое, щемящее переживание хрупкости, кратковременности, трагической обречённости частного бытия.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чем незащищённее, тем бесценнее и прекраснее, по Бунину, это летучее, наплывающее счастливым мороком и безвозвратно ускользающее мерцание уникальной, единичной, неповторимой жизни — человека ли, собаки, дерева, листка. </w:t>
      </w:r>
      <w:proofErr w:type="gramEnd"/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очерке Александра Архангельского «Последний классик» читаем: “В чьих-то воспоминаниях об Иване Алексеевиче Бунине сказано: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он жил так, будто нёс перед собою свечу. 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Это не значит, что был 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молитвенно-праведен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жертвенно-стоек. Это значит лишь то, что его умственному взору всегда предстоял образ трепещущей, золотистой горячей земной красоты, подобный огоньку свечи, который делает тёплым и живым пространство сумеречного мира, но который так легко загасить”</w:t>
      </w:r>
      <w:hyperlink r:id="rId25" w:anchor="21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21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Название одного из лучших рассказов писателя — «Лёгкое дыхание» — стало символом его творчества. “Лёгкое дыхание” жизни — чаще всего воплощённое в картине природы, в невыразимой женской прелести, в любовной страсти, оборванной обстоятельствами, — запечатлено и увековечено на страницах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бунинских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произведений.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Вторую мировую войну Бунин пережил в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Грассе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 юге Франции. К началу её ему было уже почти семьдесят. Физически участвовать в борьбе с фашистами он не мог. Семья жила тяжело, голодно. Но именно во время войны Советский Союз, воюющий с фашизмом, стал для Бунина полномочным представителем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его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России,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его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родины. “Кошмару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человекоубоины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” (так определил Б.Пастернак Гражданскую войну в романе «Доктор Живаго») Бунин противостоял эстетически: блуждая по “тёмным аллеям” любви, созидая из обрывков исчезнувшего бытия нетленную художественную красоту, — это, по словам жены писателя, В.Н. 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Муромцевой-Буниной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“помогало переносить непереносимое”</w:t>
      </w:r>
      <w:hyperlink r:id="rId26" w:anchor="22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, помогало жить во время чумы. «Тёмные аллеи», написанные в 1937–1946 годах, стали, по мнению самого писателя, “самой совершенной по мастерству”</w:t>
      </w:r>
      <w:hyperlink r:id="rId27" w:anchor="23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23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его книгой.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конце жизни Бунин порой думал о свидании с родиной, но так и не решился на это. Он, как нередко у нас бывает, вернулся в Россию своими произведениями, своим 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словом. Ему ли, ещё в детстве ощутившему “потребность выразить и продлить себя на земле”</w:t>
      </w:r>
      <w:hyperlink r:id="rId28" w:anchor="24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24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было не знать всепроникающую силу, непобедимое бессмертие слова. 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“Вещи и дела,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аще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написаннии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бывают,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тмою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покрываются и гробу беспамятства предаются,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написаннии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же яко одушевлении…” — так начинается «Жизнь Арсеньева». Та же мысль выражена в одном из самых известных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бунинских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стихотворений:</w:t>
      </w:r>
    </w:p>
    <w:p w:rsidR="00B60A78" w:rsidRPr="00B60A78" w:rsidRDefault="00B60A78" w:rsidP="00B60A7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Молчат гробницы, мумии и кости, —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Лишь слову жизнь дана: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Из вечной тьмы, на мировом погосте,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Звучат лишь Письмена.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нет у нас иного достоянья!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Умейте же беречь</w:t>
      </w:r>
      <w:proofErr w:type="gramStart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Х</w:t>
      </w:r>
      <w:proofErr w:type="gramEnd"/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оть в меру сил, в дни злобы и страданья,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Наш дар бессмертный — речь.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A7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Примечания</w:t>
      </w:r>
    </w:p>
    <w:p w:rsidR="00B60A78" w:rsidRPr="00B60A78" w:rsidRDefault="00B60A78" w:rsidP="00B60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9" w:anchor="1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[Избранное] М: Молодая гвардия, 1991. С. 118.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0" w:anchor="2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98.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1" w:anchor="3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3</w:t>
        </w:r>
      </w:hyperlink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Блок 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Скифы //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Блок 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 Стихотворения. Поэмы. Л., 1974. С. 273.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2" w:anchor="4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4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 Собр. соч.: В 6 т. М.: Художественная литература, 1987. Т. 1. С. 334.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3" w:anchor="5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5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 [Избранное] С. 107.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4" w:anchor="6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6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104.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5" w:anchor="7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7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115.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6" w:anchor="8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8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Блок 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Поднимались из тьмы погребов… //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Блок 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Стихотворения. Поэмы. Л., 1974. С. 77.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7" w:anchor="9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9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 [Избранное] С. 106.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8" w:anchor="10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10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102.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39" w:anchor="11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11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112.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0" w:anchor="12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Жизнь Арсеньева //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Собр. соч.: В 6 т. Т. 5. С. 53–54.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1" w:anchor="13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13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54.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2" w:anchor="14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14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37.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3" w:anchor="15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15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Деревня // 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Бунин И.А. 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Собр. соч.: В 6 т. Т. 4. С. 14, 17.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4" w:anchor="16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16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. [Избранное] С. 108–109.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5" w:anchor="17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17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Жизнь Арсеньева // Бунин И.А Собр. соч.: В 6 т. Т. 5. С. 17.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6" w:anchor="18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18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22.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7" w:anchor="19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19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 23.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8" w:anchor="20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20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 С. 32, 33.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9" w:anchor="21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21</w:t>
        </w:r>
      </w:hyperlink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Архангельский А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Последний классик // </w:t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proofErr w:type="gram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нин</w:t>
      </w:r>
      <w:proofErr w:type="spellEnd"/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И.А. [Избранное] М: Молодая гвардия, 1991. С. 7.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50" w:anchor="22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22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60A7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 И.А.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Собр. соч.: В 6 т. Т. 5. С. 610.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51" w:anchor="23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23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> Там же.</w:t>
      </w:r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52" w:anchor="24_back" w:history="1">
        <w:r w:rsidRPr="00B60A78">
          <w:rPr>
            <w:rFonts w:ascii="Verdana" w:eastAsia="Times New Roman" w:hAnsi="Verdana" w:cs="Times New Roman"/>
            <w:color w:val="6F3F01"/>
            <w:sz w:val="15"/>
            <w:u w:val="single"/>
            <w:vertAlign w:val="superscript"/>
            <w:lang w:eastAsia="ru-RU"/>
          </w:rPr>
          <w:t>24</w:t>
        </w:r>
      </w:hyperlink>
      <w:r w:rsidRPr="00B60A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Там же. С. 571.</w:t>
      </w:r>
    </w:p>
    <w:p w:rsidR="004A3CBF" w:rsidRDefault="009F5BE0">
      <w:r>
        <w:t xml:space="preserve">Материалы по </w:t>
      </w:r>
      <w:r w:rsidR="00E34300" w:rsidRPr="00E34300">
        <w:t>http://lit.1september.ru/urok/index.php?SubjectID=150070</w:t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0A78"/>
    <w:rsid w:val="001C51FA"/>
    <w:rsid w:val="003D728D"/>
    <w:rsid w:val="004A3CBF"/>
    <w:rsid w:val="009C7992"/>
    <w:rsid w:val="009F5BE0"/>
    <w:rsid w:val="00B60A78"/>
    <w:rsid w:val="00E34300"/>
    <w:rsid w:val="00E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0A78"/>
    <w:rPr>
      <w:color w:val="6F3F01"/>
      <w:u w:val="single"/>
      <w:shd w:val="clear" w:color="auto" w:fill="F4ECE2"/>
    </w:rPr>
  </w:style>
  <w:style w:type="paragraph" w:styleId="a4">
    <w:name w:val="Normal (Web)"/>
    <w:basedOn w:val="a"/>
    <w:uiPriority w:val="99"/>
    <w:semiHidden/>
    <w:unhideWhenUsed/>
    <w:rsid w:val="00B60A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initial2">
    <w:name w:val="initial2"/>
    <w:basedOn w:val="a0"/>
    <w:rsid w:val="00B60A78"/>
    <w:rPr>
      <w:color w:val="6F3F01"/>
      <w:sz w:val="72"/>
      <w:szCs w:val="72"/>
    </w:rPr>
  </w:style>
  <w:style w:type="character" w:styleId="a5">
    <w:name w:val="Emphasis"/>
    <w:basedOn w:val="a0"/>
    <w:uiPriority w:val="20"/>
    <w:qFormat/>
    <w:rsid w:val="00B60A78"/>
    <w:rPr>
      <w:i/>
      <w:iCs/>
    </w:rPr>
  </w:style>
  <w:style w:type="character" w:styleId="a6">
    <w:name w:val="Strong"/>
    <w:basedOn w:val="a0"/>
    <w:uiPriority w:val="22"/>
    <w:qFormat/>
    <w:rsid w:val="00B60A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664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924338126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721">
                      <w:marLeft w:val="128"/>
                      <w:marRight w:val="0"/>
                      <w:marTop w:val="6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4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49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.1september.ru/2009/06/" TargetMode="External"/><Relationship Id="rId18" Type="http://schemas.openxmlformats.org/officeDocument/2006/relationships/hyperlink" Target="http://lit.1september.ru/2009/06/" TargetMode="External"/><Relationship Id="rId26" Type="http://schemas.openxmlformats.org/officeDocument/2006/relationships/hyperlink" Target="http://lit.1september.ru/2009/06/" TargetMode="External"/><Relationship Id="rId39" Type="http://schemas.openxmlformats.org/officeDocument/2006/relationships/hyperlink" Target="http://lit.1september.ru/2009/0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t.1september.ru/2009/06/" TargetMode="External"/><Relationship Id="rId34" Type="http://schemas.openxmlformats.org/officeDocument/2006/relationships/hyperlink" Target="http://lit.1september.ru/2009/06/" TargetMode="External"/><Relationship Id="rId42" Type="http://schemas.openxmlformats.org/officeDocument/2006/relationships/hyperlink" Target="http://lit.1september.ru/2009/06/" TargetMode="External"/><Relationship Id="rId47" Type="http://schemas.openxmlformats.org/officeDocument/2006/relationships/hyperlink" Target="http://lit.1september.ru/2009/06/" TargetMode="External"/><Relationship Id="rId50" Type="http://schemas.openxmlformats.org/officeDocument/2006/relationships/hyperlink" Target="http://lit.1september.ru/2009/06/" TargetMode="External"/><Relationship Id="rId7" Type="http://schemas.openxmlformats.org/officeDocument/2006/relationships/hyperlink" Target="http://lit.1september.ru/2009/06/" TargetMode="External"/><Relationship Id="rId12" Type="http://schemas.openxmlformats.org/officeDocument/2006/relationships/hyperlink" Target="http://lit.1september.ru/2009/06/" TargetMode="External"/><Relationship Id="rId17" Type="http://schemas.openxmlformats.org/officeDocument/2006/relationships/hyperlink" Target="http://lit.1september.ru/2009/06/" TargetMode="External"/><Relationship Id="rId25" Type="http://schemas.openxmlformats.org/officeDocument/2006/relationships/hyperlink" Target="http://lit.1september.ru/2009/06/" TargetMode="External"/><Relationship Id="rId33" Type="http://schemas.openxmlformats.org/officeDocument/2006/relationships/hyperlink" Target="http://lit.1september.ru/2009/06/" TargetMode="External"/><Relationship Id="rId38" Type="http://schemas.openxmlformats.org/officeDocument/2006/relationships/hyperlink" Target="http://lit.1september.ru/2009/06/" TargetMode="External"/><Relationship Id="rId46" Type="http://schemas.openxmlformats.org/officeDocument/2006/relationships/hyperlink" Target="http://lit.1september.ru/2009/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t.1september.ru/2009/06/" TargetMode="External"/><Relationship Id="rId20" Type="http://schemas.openxmlformats.org/officeDocument/2006/relationships/hyperlink" Target="http://lit.1september.ru/2009/06/" TargetMode="External"/><Relationship Id="rId29" Type="http://schemas.openxmlformats.org/officeDocument/2006/relationships/hyperlink" Target="http://lit.1september.ru/2009/06/" TargetMode="External"/><Relationship Id="rId41" Type="http://schemas.openxmlformats.org/officeDocument/2006/relationships/hyperlink" Target="http://lit.1september.ru/2009/06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t.1september.ru/2009/06/" TargetMode="External"/><Relationship Id="rId11" Type="http://schemas.openxmlformats.org/officeDocument/2006/relationships/hyperlink" Target="http://lit.1september.ru/2009/06/" TargetMode="External"/><Relationship Id="rId24" Type="http://schemas.openxmlformats.org/officeDocument/2006/relationships/hyperlink" Target="http://lit.1september.ru/2009/06/" TargetMode="External"/><Relationship Id="rId32" Type="http://schemas.openxmlformats.org/officeDocument/2006/relationships/hyperlink" Target="http://lit.1september.ru/2009/06/" TargetMode="External"/><Relationship Id="rId37" Type="http://schemas.openxmlformats.org/officeDocument/2006/relationships/hyperlink" Target="http://lit.1september.ru/2009/06/" TargetMode="External"/><Relationship Id="rId40" Type="http://schemas.openxmlformats.org/officeDocument/2006/relationships/hyperlink" Target="http://lit.1september.ru/2009/06/" TargetMode="External"/><Relationship Id="rId45" Type="http://schemas.openxmlformats.org/officeDocument/2006/relationships/hyperlink" Target="http://lit.1september.ru/2009/06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lit.1september.ru/2009/06/" TargetMode="External"/><Relationship Id="rId15" Type="http://schemas.openxmlformats.org/officeDocument/2006/relationships/hyperlink" Target="http://lit.1september.ru/2009/06/" TargetMode="External"/><Relationship Id="rId23" Type="http://schemas.openxmlformats.org/officeDocument/2006/relationships/hyperlink" Target="http://lit.1september.ru/2009/06/" TargetMode="External"/><Relationship Id="rId28" Type="http://schemas.openxmlformats.org/officeDocument/2006/relationships/hyperlink" Target="http://lit.1september.ru/2009/06/" TargetMode="External"/><Relationship Id="rId36" Type="http://schemas.openxmlformats.org/officeDocument/2006/relationships/hyperlink" Target="http://lit.1september.ru/2009/06/" TargetMode="External"/><Relationship Id="rId49" Type="http://schemas.openxmlformats.org/officeDocument/2006/relationships/hyperlink" Target="http://lit.1september.ru/2009/06/" TargetMode="External"/><Relationship Id="rId10" Type="http://schemas.openxmlformats.org/officeDocument/2006/relationships/hyperlink" Target="http://lit.1september.ru/2009/06/" TargetMode="External"/><Relationship Id="rId19" Type="http://schemas.openxmlformats.org/officeDocument/2006/relationships/hyperlink" Target="http://lit.1september.ru/2009/06/" TargetMode="External"/><Relationship Id="rId31" Type="http://schemas.openxmlformats.org/officeDocument/2006/relationships/hyperlink" Target="http://lit.1september.ru/2009/06/" TargetMode="External"/><Relationship Id="rId44" Type="http://schemas.openxmlformats.org/officeDocument/2006/relationships/hyperlink" Target="http://lit.1september.ru/2009/06/" TargetMode="External"/><Relationship Id="rId52" Type="http://schemas.openxmlformats.org/officeDocument/2006/relationships/hyperlink" Target="http://lit.1september.ru/2009/0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.1september.ru/2009/06/" TargetMode="External"/><Relationship Id="rId14" Type="http://schemas.openxmlformats.org/officeDocument/2006/relationships/hyperlink" Target="http://lit.1september.ru/2009/06/" TargetMode="External"/><Relationship Id="rId22" Type="http://schemas.openxmlformats.org/officeDocument/2006/relationships/hyperlink" Target="http://lit.1september.ru/2009/06/" TargetMode="External"/><Relationship Id="rId27" Type="http://schemas.openxmlformats.org/officeDocument/2006/relationships/hyperlink" Target="http://lit.1september.ru/2009/06/" TargetMode="External"/><Relationship Id="rId30" Type="http://schemas.openxmlformats.org/officeDocument/2006/relationships/hyperlink" Target="http://lit.1september.ru/2009/06/" TargetMode="External"/><Relationship Id="rId35" Type="http://schemas.openxmlformats.org/officeDocument/2006/relationships/hyperlink" Target="http://lit.1september.ru/2009/06/" TargetMode="External"/><Relationship Id="rId43" Type="http://schemas.openxmlformats.org/officeDocument/2006/relationships/hyperlink" Target="http://lit.1september.ru/2009/06/" TargetMode="External"/><Relationship Id="rId48" Type="http://schemas.openxmlformats.org/officeDocument/2006/relationships/hyperlink" Target="http://lit.1september.ru/2009/06/" TargetMode="External"/><Relationship Id="rId8" Type="http://schemas.openxmlformats.org/officeDocument/2006/relationships/hyperlink" Target="http://lit.1september.ru/2009/06/" TargetMode="External"/><Relationship Id="rId51" Type="http://schemas.openxmlformats.org/officeDocument/2006/relationships/hyperlink" Target="http://lit.1september.ru/2009/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2014-07-22T10:23:00Z</dcterms:created>
  <dcterms:modified xsi:type="dcterms:W3CDTF">2014-07-22T11:02:00Z</dcterms:modified>
</cp:coreProperties>
</file>