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F2" w:rsidRPr="000613F2" w:rsidRDefault="000613F2" w:rsidP="000613F2">
      <w:pPr>
        <w:shd w:val="clear" w:color="auto" w:fill="6F3F01"/>
        <w:spacing w:after="0" w:line="240" w:lineRule="auto"/>
        <w:jc w:val="center"/>
        <w:textAlignment w:val="center"/>
        <w:rPr>
          <w:rFonts w:ascii="Arial CYR" w:eastAsia="Times New Roman" w:hAnsi="Arial CYR" w:cs="Arial CYR"/>
          <w:b/>
          <w:bCs/>
          <w:caps/>
          <w:color w:val="FFFFFF"/>
          <w:sz w:val="24"/>
          <w:szCs w:val="24"/>
          <w:lang w:eastAsia="ru-RU"/>
        </w:rPr>
      </w:pPr>
      <w:r w:rsidRPr="000613F2">
        <w:rPr>
          <w:rFonts w:ascii="Arial CYR" w:eastAsia="Times New Roman" w:hAnsi="Arial CYR" w:cs="Arial CYR"/>
          <w:b/>
          <w:bCs/>
          <w:caps/>
          <w:color w:val="FFFFFF"/>
          <w:sz w:val="24"/>
          <w:szCs w:val="24"/>
          <w:lang w:eastAsia="ru-RU"/>
        </w:rPr>
        <w:t xml:space="preserve">Я иду на урок </w:t>
      </w:r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6F3F01"/>
          <w:sz w:val="24"/>
          <w:szCs w:val="24"/>
          <w:lang w:eastAsia="ru-RU"/>
        </w:rPr>
      </w:pPr>
      <w:r w:rsidRPr="000613F2">
        <w:rPr>
          <w:rFonts w:ascii="Times New Roman" w:eastAsia="Times New Roman" w:hAnsi="Times New Roman" w:cs="Times New Roman"/>
          <w:b/>
          <w:bCs/>
          <w:color w:val="6F3F01"/>
          <w:sz w:val="24"/>
          <w:szCs w:val="24"/>
          <w:lang w:eastAsia="ru-RU"/>
        </w:rPr>
        <w:t>Я иду на урок: 7-й класс</w:t>
      </w:r>
      <w:r>
        <w:rPr>
          <w:rFonts w:ascii="Arial CYR" w:eastAsia="Times New Roman" w:hAnsi="Arial CYR" w:cs="Arial CYR"/>
          <w:caps/>
          <w:noProof/>
          <w:color w:val="FFFFFF"/>
          <w:sz w:val="24"/>
          <w:szCs w:val="24"/>
          <w:lang w:eastAsia="ru-RU"/>
        </w:rPr>
        <w:drawing>
          <wp:anchor distT="66675" distB="6667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3238500"/>
            <wp:effectExtent l="19050" t="0" r="0" b="0"/>
            <wp:wrapSquare wrapText="bothSides"/>
            <wp:docPr id="2" name="Рисунок 2" descr="Памятник Илье Муромцу в городе Муром Владимирской области (фото с сайта http://www.murom.ru/photos/wp_ermishin/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ник Илье Муромцу в городе Муром Владимирской области (фото с сайта http://www.murom.ru/photos/wp_ermishin/)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3F2" w:rsidRPr="000613F2" w:rsidRDefault="000613F2" w:rsidP="000613F2">
      <w:pPr>
        <w:shd w:val="clear" w:color="auto" w:fill="FFFFFF"/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0613F2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 xml:space="preserve">Лариса </w:t>
      </w:r>
      <w:proofErr w:type="spellStart"/>
      <w:r w:rsidRPr="000613F2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Торопчина</w:t>
      </w:r>
      <w:proofErr w:type="spellEnd"/>
    </w:p>
    <w:p w:rsidR="000613F2" w:rsidRPr="000613F2" w:rsidRDefault="000613F2" w:rsidP="00061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90pt;height:.4pt" o:hrpct="0" o:hrstd="t" o:hrnoshade="t" o:hr="t" fillcolor="#007500" stroked="f"/>
        </w:pict>
      </w:r>
    </w:p>
    <w:p w:rsidR="000613F2" w:rsidRPr="000613F2" w:rsidRDefault="000613F2" w:rsidP="000613F2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Лариса Васильевна ТОРОПЧИНА — учитель литературы московской гимназии № 1549.</w:t>
      </w:r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</w:pPr>
      <w:r w:rsidRPr="000613F2"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  <w:t>Изучая былины</w:t>
      </w:r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3F2">
        <w:rPr>
          <w:rFonts w:ascii="Verdana" w:eastAsia="Times New Roman" w:hAnsi="Verdana" w:cs="Times New Roman"/>
          <w:color w:val="007500"/>
          <w:sz w:val="48"/>
          <w:szCs w:val="48"/>
          <w:lang w:eastAsia="ru-RU"/>
        </w:rPr>
        <w:t>В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начале 7-го класса школьники приступают к изучению русских былин. Им уже знакомы сказки и мифы. Былины хотя и связаны с этими жанрами, существенно от них отличаются. </w:t>
      </w:r>
      <w:proofErr w:type="gram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Литературоведы называют былину “стихотворным сказанием, в котором отражена </w:t>
      </w:r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реальная историческая основа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(курсив мой.</w:t>
      </w:r>
      <w:proofErr w:type="gram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— </w:t>
      </w:r>
      <w:r w:rsidRPr="000613F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Л.Т.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) и изображаются герои и события, созданные народной фантазией” (</w:t>
      </w:r>
      <w:proofErr w:type="spellStart"/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Альбеткова</w:t>
      </w:r>
      <w:proofErr w:type="spellEnd"/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Р.И.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Русская словесность. 9 класс. М.: Дрофа, 2000. </w:t>
      </w:r>
      <w:proofErr w:type="gram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С. 282). </w:t>
      </w:r>
      <w:proofErr w:type="gramEnd"/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Обращаясь к анализу былин, следует помнить, что семиклассникам уже хорошо известно содержание многих произведений этого жанра, а кроме того, они владеют определёнными навыками анализа художественного текста — и это должно быть учтено при разработке учителем творческого домашнего задания. С одной стороны, оно может носить элементы поискового характера (работа со словарями и справочниками, со сборниками малоизвестных былин), с другой — это будет детальное исследование языка и стилистики конкретных произведений из учебника-хрестоматии. В конце изучения можно провести зачётный семинар по теме </w:t>
      </w:r>
      <w:r w:rsidRPr="000613F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«Русские былины: герои, проблематика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0613F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жанр, язык»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вопросы для которого ученикам следует дать заранее. Следует отобрать и конкретный текстовый материал для прочтения и последующей работы с ним. </w:t>
      </w:r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Обычно на уроках анализируют две былины — «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Вольга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Микула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Селянинович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» и «Илья Муромец и Соловей-разбойник», предлагая в качестве дополнительного материала произведения «Добрыня и Змей», «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Святогор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Илья Муромец». Слабые учащиеся вполне могут ограничиться прочтением этих текстов; те же, кто склонен к поисковой деятельности, могут расширить круг чтения, включив в него, например, былины об Алёше Поповиче, о боярском сыне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Дюке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Степановиче, “торговом госте” Садко, богатом воеводе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Чуриле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Плёнковиче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именитом вельможе из Новгорода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Ставре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Годиновиче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другие. </w:t>
      </w:r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Задания для итогового семинара тоже следует дифференцировать. Слабые ученики могут, опираясь на статью из учебника-хрестоматии, приготовить ответы на вопросы.</w:t>
      </w:r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— К какому роду литературы относятся былины? </w:t>
      </w:r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— Какой жанр фольклора мы называем былиной? Что вам известно о времени и месте формирования и развития этого жанра фольклора? </w:t>
      </w:r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— Какие циклы былин вам известны? Приведите примеры. </w:t>
      </w:r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— Дайте сравнительную характеристику двум былинным героям (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Вольге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Микуле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Селяниновичу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Святогору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Илье Муромцу, Илье Муромцу и Добрыне Никитичу — по выбору). </w:t>
      </w:r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— </w:t>
      </w:r>
      <w:proofErr w:type="gram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Воспитанию</w:t>
      </w:r>
      <w:proofErr w:type="gram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каких нравственных качеств способствовали и способствуют русские былины? </w:t>
      </w:r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Более сильным учащимся можно, помимо данных вопросов, предложить анализ проблематики прочитанных произведений, определение характерных для этого жанра устного народного творчества тропов. </w:t>
      </w:r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Наконец, тем, кто захочет более глубоко заняться изучением былин, </w:t>
      </w:r>
      <w:proofErr w:type="gram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например</w:t>
      </w:r>
      <w:proofErr w:type="gram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написать исследование по данной теме, следует рассмотреть такие аспекты, как «Время и пространство в былинах», «Историческая реальность и народный вымысел в былинах», «Элементы языка различных временных периодов в русских былинах», «Былинные персонажи и их исторические прототипы», «Русские былины и летописи». </w:t>
      </w:r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Полагаю, будет интересной и познавательной и другая форма зачётной работы. Можно предложить ученикам сделать презентацию с подбором необходимого иллюстративного материала. </w:t>
      </w:r>
      <w:proofErr w:type="gram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Сюда подойдут, например, репродукции картин В.М. Васнецова «Три богатыря» и «Витязь на распутье», И.Е. Репина «Садко», фрагменты кинофильмов «Илья Муромец», «Садко», анимационных фильмов о русских богатырях.</w:t>
      </w:r>
      <w:proofErr w:type="gram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Можно также отобрать фрагменты из литературных произведений, в которых появляются герои или звучат мотивы русского былевого эпоса: поэма Н.М. Карамзина «Илья Муромец», поэма А.С. Пушкина «Руслан и Людмила», баллады А.К. Толстого «Курган», «Илья Муромец», «Змей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Тугарин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». В качестве музыкального сопровождения устного выступления можно использовать фрагменты оперы Н.А. Римского-Корсакова «Садко», «Богатырской симфонии» А.П. Бородина, симфонии Р.М. Глиэра «Илья Муромец», оперы А.Г. Гречанинова «Добрыня Никитич». Урок такого типа можно провести как </w:t>
      </w:r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интегрированный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— совместно с учителями музыки и изобразительного искусства. </w:t>
      </w:r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Интеграция возможна и в том случае, если учащиеся захотят продолжить работу по исследованию русских былин и выберут темы «Отражение эпохи Киевской Руси в былевом эпосе», «Исторические персонажи и их прототипы в былевом эпосе», «Русские летописи и былины» — семиклассники вправе рассчитывать на помощь учителей литературы и истории. </w:t>
      </w:r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Особое внимание необходимо обратить на </w:t>
      </w:r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богат</w:t>
      </w:r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ство народного языка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былевом эпосе: ученики — с помощью учителя или самостоятельно — поработают с этимологическими и толковыми словарями, познакомятся с историческими комментариями, которые, как правило, есть в сборниках былин. Здесь они смогут почерпнуть сведения о незнакомых ранее (диалектных или устаревших) словах, достаточно часто встречающихся в текстах. </w:t>
      </w:r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Внимательно прочитав те</w:t>
      </w:r>
      <w:proofErr w:type="gram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кст пр</w:t>
      </w:r>
      <w:proofErr w:type="gram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оизведения, поработав над его словарным составом, можно выяснить, на какой территории оно создавалось, так как в нём часто отражены обычаи и традиции той или иной местности, использована диалектная лексика. </w:t>
      </w:r>
      <w:proofErr w:type="gram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Например, в былине «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Вольга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Микула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Селянинович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» воссоздана картина пахоты именно на северных землях, сплошь усеянных мелкими (“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омешики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камешкам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почиркивают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”) и крупными (“большие-то… в борозду валит”) “каменьями” (валуны в северных губерниях остались после ледникового периода) и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невывернутым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“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пеньём-кореньем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”, характерным не для южнорусских плодородных нив, а для суровой северной пашни. </w:t>
      </w:r>
      <w:proofErr w:type="gramEnd"/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Былины о Добрыне Никитиче созданы на южных, киевских землях, и многие исследователи считают, что прообразом этого богатыря явился исторический дядя князя Владимира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Святославича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брат его матери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Малуши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в художественных текстах встречаются элементы южнорусской лексики, в том числе и географические названия. </w:t>
      </w:r>
      <w:proofErr w:type="gram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Так, например, герой (былина «Добрыня и Змей») купается в </w:t>
      </w:r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</w:t>
      </w:r>
      <w:proofErr w:type="spellStart"/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Пучай-реке</w:t>
      </w:r>
      <w:proofErr w:type="spellEnd"/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»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— это, вероятно, историческая небольшая речка </w:t>
      </w:r>
      <w:proofErr w:type="spellStart"/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Почайна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, приток Днепра, в которой происходило крещение киевлян.</w:t>
      </w:r>
      <w:proofErr w:type="gram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былине «Женитьба князя Владимира», где отражён исторический факт сватовства киевского владыки к половецкой княжне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Рогнеде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мы встречаемся с богатырём по имени “Дунай сын Иванович”, случайно убившим во время состязания по стрельбе из лука свою жену Настасью Романовну и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неродившегося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ребёнка. Дунай не перенёс горя и заколол себя, а из крови его потекла “Дунай-река”. </w:t>
      </w:r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Наконец, произведения, связанные с именем Ильи Муромца, выступавшего в защиту народа не только от нападения врагов, но и от притеснения киевского князя, созданы, по мнению историков литературы, на территории средней Руси. Так, наименования </w:t>
      </w:r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Муром, </w:t>
      </w:r>
      <w:proofErr w:type="spellStart"/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Карачарово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встречаются в былинах как обо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softHyphen/>
        <w:t xml:space="preserve">значения малой родины богатыря. Кстати, известно, что жители города Мурома с давних пор считали богатыря своим земляком, а память о нём ещё в </w:t>
      </w:r>
      <w:proofErr w:type="gram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proofErr w:type="gram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VI веке сохранялась в названиях: </w:t>
      </w:r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Ильинская улица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Богатырёва</w:t>
      </w:r>
      <w:proofErr w:type="spellEnd"/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гора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Скокова гора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(последнее обозначало улицу, по которой будто бы Илья выехал — </w:t>
      </w:r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поскакал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— на свершение богатырских подвигов). </w:t>
      </w:r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Интересен не только словарный состав былин, но и структурные и стилистические особенности жанра. Русские былины всегда пелись, а точнее, сказывались мерным, торжественным речитативом. Не случайно исполнителей таких произведений называли </w:t>
      </w:r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сказителями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Для былевого эпоса характерен особый </w:t>
      </w:r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зачин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котором, как правило, указывается время или место действия, называется герой, о котором пойдёт речь. Далее сказитель обрисовывает героя произведения, показывает его необычное поведение (“Он стоял заутреню </w:t>
      </w:r>
      <w:proofErr w:type="gram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во</w:t>
      </w:r>
      <w:proofErr w:type="gram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Муроме, ай к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обеденке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хотел поспеть он в стольный Киев-град”, — говорится о действиях Ильи Муромца), незаурядную внешность (пахарь Микула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Селянинович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, например, обут в богатые “сапожки зелен сафьян”, одет в “кафтанчик чёрна бархата” и идеально красив: “глаза да ясна сокола, а брови у него да чёрна соболя”, кудри, “</w:t>
      </w:r>
      <w:proofErr w:type="gram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что</w:t>
      </w:r>
      <w:proofErr w:type="gram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скачен ли жемчуг рассыпаются”). Этот приём позволяет уже при </w:t>
      </w:r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завязке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действия выявить особую роль народного героя, подчеркнуть значительность его образа. </w:t>
      </w:r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Затем медленно и плавно развёртывается </w:t>
      </w:r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основное действие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былины, где сказитель обычно живописует подвиги русского богатыря, используя </w:t>
      </w:r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гиперболу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“А и скачет он пониже облака ходячего да повыше леса стоячего”, Илья едет “по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раздольицу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чисту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полю </w:t>
      </w:r>
      <w:proofErr w:type="gram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во</w:t>
      </w:r>
      <w:proofErr w:type="gram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тую силушку великую” и “бьёт-то силу, как траву косит, — у Ильи сила не уменьшается”. Гипербола типична и для изображения врагов Руси: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Тугарина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Змеевича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Идолища </w:t>
      </w:r>
      <w:proofErr w:type="gram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Поганого</w:t>
      </w:r>
      <w:proofErr w:type="gram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Соловья-разбойника и других. Пользуясь гиперболой, сказитель ясно высказывает </w:t>
      </w:r>
      <w:proofErr w:type="gram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отношение</w:t>
      </w:r>
      <w:proofErr w:type="gram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как к народным любимцам, так и к врагам родной земли. </w:t>
      </w:r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Интересно, что для важных моментов былинного повествования характерен </w:t>
      </w:r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приём троичности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. На рубежах родины стоят</w:t>
      </w:r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три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главных богатыря: Илья, Добрыня и Алёша (исследователи отмечают, что число “три” раньше имело условное значение множественности). Сказитель пользуется в былинных сказаниях </w:t>
      </w:r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троекратными повторами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, чтобы показать многократность действий или длительность проходящего времени: герой совершает три поездки богатырские; три года, три месяца да “ещё три дня” просит сроку у Калина-царя князь Владимир, чтобы с почестями встретить его в Киеве; трижды бьётся Илья Муромец с Сокольником, своим неузнанным сыном; наконец, три чары вина выпивает богатырь на “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почестном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пиру” у князя. </w:t>
      </w:r>
    </w:p>
    <w:p w:rsidR="000613F2" w:rsidRPr="000613F2" w:rsidRDefault="000613F2" w:rsidP="000613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Мерная речь сказителя завершается традиционной для этого вида устного народного творчества </w:t>
      </w:r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концовкой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“А тут той старинке и славу поют, а по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тыих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мест старинка и покончилась”, “То старина, то и деяние”, “А с той поры, с того времени а стали </w:t>
      </w:r>
      <w:proofErr w:type="spellStart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Дюка</w:t>
      </w:r>
      <w:proofErr w:type="spellEnd"/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стариной сказать, отныне сказать да и до века”. Конечные слова былин (так называемый </w:t>
      </w:r>
      <w:r w:rsidRPr="000613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исход</w:t>
      </w: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) создают ощущение полной завершённости рассказа.</w:t>
      </w:r>
    </w:p>
    <w:p w:rsidR="00C8462C" w:rsidRDefault="000613F2" w:rsidP="000613F2">
      <w:pPr>
        <w:shd w:val="clear" w:color="auto" w:fill="FFFFFF"/>
        <w:spacing w:before="100" w:beforeAutospacing="1" w:after="100" w:afterAutospacing="1" w:line="240" w:lineRule="auto"/>
      </w:pPr>
      <w:r w:rsidRPr="000613F2">
        <w:rPr>
          <w:rFonts w:ascii="Verdana" w:eastAsia="Times New Roman" w:hAnsi="Verdana" w:cs="Times New Roman"/>
          <w:sz w:val="20"/>
          <w:szCs w:val="20"/>
          <w:lang w:eastAsia="ru-RU"/>
        </w:rPr>
        <w:t>Хорошо, если все эти аспекты былин будут затронуты на уроках. По ним можно задать и основные вопросы на итоговом зачёте.</w:t>
      </w:r>
    </w:p>
    <w:sectPr w:rsidR="00C8462C" w:rsidSect="00C8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3F2"/>
    <w:rsid w:val="000613F2"/>
    <w:rsid w:val="00C8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2C"/>
  </w:style>
  <w:style w:type="paragraph" w:styleId="1">
    <w:name w:val="heading 1"/>
    <w:basedOn w:val="a"/>
    <w:link w:val="10"/>
    <w:uiPriority w:val="9"/>
    <w:qFormat/>
    <w:rsid w:val="00061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F3F01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1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F3F01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61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F3F0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3F2"/>
    <w:rPr>
      <w:rFonts w:ascii="Times New Roman" w:eastAsia="Times New Roman" w:hAnsi="Times New Roman" w:cs="Times New Roman"/>
      <w:b/>
      <w:bCs/>
      <w:color w:val="6F3F01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3F2"/>
    <w:rPr>
      <w:rFonts w:ascii="Times New Roman" w:eastAsia="Times New Roman" w:hAnsi="Times New Roman" w:cs="Times New Roman"/>
      <w:b/>
      <w:bCs/>
      <w:color w:val="6F3F01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13F2"/>
    <w:rPr>
      <w:rFonts w:ascii="Times New Roman" w:eastAsia="Times New Roman" w:hAnsi="Times New Roman" w:cs="Times New Roman"/>
      <w:b/>
      <w:bCs/>
      <w:color w:val="6F3F0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13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6449">
          <w:marLeft w:val="-30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938978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3847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1455</Words>
  <Characters>8294</Characters>
  <Application>Microsoft Office Word</Application>
  <DocSecurity>0</DocSecurity>
  <Lines>69</Lines>
  <Paragraphs>19</Paragraphs>
  <ScaleCrop>false</ScaleCrop>
  <Company>Microsoft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2014-08-17T11:21:00Z</dcterms:created>
  <dcterms:modified xsi:type="dcterms:W3CDTF">2014-08-17T14:00:00Z</dcterms:modified>
</cp:coreProperties>
</file>