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7484"/>
      </w:tblGrid>
      <w:tr w:rsidR="00C42049" w:rsidRPr="00C42049" w:rsidTr="00C42049">
        <w:trPr>
          <w:tblCellSpacing w:w="0" w:type="dxa"/>
          <w:jc w:val="center"/>
        </w:trPr>
        <w:tc>
          <w:tcPr>
            <w:tcW w:w="5000" w:type="pct"/>
            <w:shd w:val="clear" w:color="auto" w:fill="EFEFEF"/>
            <w:vAlign w:val="center"/>
            <w:hideMark/>
          </w:tcPr>
          <w:p w:rsidR="00C42049" w:rsidRPr="00C42049" w:rsidRDefault="00C42049" w:rsidP="00C420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0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Я ИДУ НА УРОК 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ПЕРЕЧИТАЕМ  ЗАНОВО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lang w:eastAsia="ru-RU"/>
              </w:rPr>
              <w:t>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ШТУДИИ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999999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НОВОЕ   В ШКОЛЬНЫХ  ПРОГРАММАХ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6F3F01"/>
                <w:sz w:val="15"/>
                <w:lang w:eastAsia="ru-RU"/>
              </w:rPr>
              <w:t>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ШКОЛА В ШКОЛЕ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ГАЛЕРЕЯ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ИНТЕРВЬЮ У КЛАССНОЙ ДОСКИ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ПОЧТОВЫЙ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ЯЩИК 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Symbol" w:eastAsia="Times New Roman" w:hAnsi="Symbol" w:cs="Times New Roman"/>
                <w:b/>
                <w:bCs/>
                <w:color w:val="C0C0C0"/>
                <w:sz w:val="15"/>
                <w:szCs w:val="15"/>
                <w:lang w:eastAsia="ru-RU"/>
              </w:rPr>
              <w:t>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lang w:eastAsia="ru-RU"/>
              </w:rPr>
              <w:t> </w:t>
            </w:r>
            <w:r w:rsidRPr="00C42049">
              <w:rPr>
                <w:rFonts w:ascii="Verdana" w:eastAsia="Times New Roman" w:hAnsi="Verdana" w:cs="Times New Roman"/>
                <w:b/>
                <w:bCs/>
                <w:color w:val="C0C0C0"/>
                <w:sz w:val="15"/>
                <w:szCs w:val="15"/>
                <w:lang w:eastAsia="ru-RU"/>
              </w:rPr>
              <w:t>УЧИТЕЛЬ ОБ УЧИТЕЛЕ </w:t>
            </w:r>
          </w:p>
        </w:tc>
      </w:tr>
    </w:tbl>
    <w:p w:rsidR="00C42049" w:rsidRPr="00C42049" w:rsidRDefault="00C42049" w:rsidP="00C420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Екатерина СУВОРОВА,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/>
        <w:t>школа № 109, г</w:t>
      </w:r>
      <w:proofErr w:type="gramStart"/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.М</w:t>
      </w:r>
      <w:proofErr w:type="gramEnd"/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осква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1905" cy="2363470"/>
            <wp:effectExtent l="19050" t="0" r="0" b="0"/>
            <wp:docPr id="1" name="Рисунок 1" descr="http://lit.1september.ru/1999/03/n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1september.ru/1999/03/no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49" w:rsidRPr="00C42049" w:rsidRDefault="00C42049" w:rsidP="00C420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shd w:val="clear" w:color="auto" w:fill="FFFFFF"/>
          <w:lang w:eastAsia="ru-RU"/>
        </w:rPr>
      </w:pPr>
      <w:proofErr w:type="spellStart"/>
      <w:r w:rsidRPr="00C42049">
        <w:rPr>
          <w:rFonts w:ascii="Arial CYR" w:eastAsia="Times New Roman" w:hAnsi="Arial CYR" w:cs="Arial CYR"/>
          <w:b/>
          <w:bCs/>
          <w:color w:val="FFFFFF"/>
          <w:kern w:val="36"/>
          <w:sz w:val="20"/>
          <w:szCs w:val="20"/>
          <w:shd w:val="clear" w:color="auto" w:fill="FFFFFF"/>
          <w:lang w:eastAsia="ru-RU"/>
        </w:rPr>
        <w:t>лор</w:t>
      </w:r>
      <w:proofErr w:type="spellEnd"/>
      <w:r w:rsidRPr="00C42049">
        <w:rPr>
          <w:rFonts w:ascii="Arial CYR" w:eastAsia="Times New Roman" w:hAnsi="Arial CYR" w:cs="Arial CYR"/>
          <w:b/>
          <w:bCs/>
          <w:color w:val="FFFFFF"/>
          <w:kern w:val="36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b/>
          <w:bCs/>
          <w:color w:val="7F7F7F"/>
          <w:kern w:val="36"/>
          <w:sz w:val="48"/>
          <w:szCs w:val="48"/>
          <w:shd w:val="clear" w:color="auto" w:fill="FFFFFF"/>
          <w:lang w:eastAsia="ru-RU"/>
        </w:rPr>
        <w:t>в пятом классе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Тема.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Повторение и обобщение знаний, умений и навыков по теме «Фольклор».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Цель.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Повторение и обобщение знаний, умений и навыков по теме. Углубление знаний терминологии литературоведческого характера. Систематизация знаний, умений и навыков по теории литературы в игровых формах. Воспитание любви к народной культуре во взаимосвязях древности и современности России и других стран. Развитие художественной речи, поэтического слуха, фантазии, воображения, эмоционально-гуманного отношения к окружающему миру.</w:t>
      </w:r>
    </w:p>
    <w:p w:rsidR="00C42049" w:rsidRPr="00C42049" w:rsidRDefault="00C42049" w:rsidP="00C420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F3F01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6F3F01"/>
          <w:sz w:val="20"/>
          <w:szCs w:val="20"/>
          <w:shd w:val="clear" w:color="auto" w:fill="FFFFFF"/>
          <w:lang w:eastAsia="ru-RU"/>
        </w:rPr>
        <w:t>ПЛАН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1. Проверка домашнего задания.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а) ПЕРВЫЙ УРОВЕНЬ. Прочитать и объяснить пословицу – работа с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календариками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«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Ладушки-потешки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 Л.Асанова.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Дети выбирают следующие пословицы: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У февраля два друга – метель да вьюга.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Ласточка весну начинает, а соловей кончает.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Зимой солнце – что мачеха: светит, да не греет.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Съел бы грибок, да снег глубок.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б) ВТОРОЙ УРОВЕНЬ. Прочитать собранные произведения малых жанров фольклора (загадки, частушки, скороговорки и так далее).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в) ТРЕТИЙ УРОВЕНЬ. Прочитать подготовленные олицетворения, сложить их в конверт.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Дети читают подготовленные олицетворения: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– Рваный учебник убежал от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грязнули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Учебник скучал, пока его не взяли.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Ручка обиделась на хозяйку.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Исписанная парта размышляла.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Старый шкаф охал.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lastRenderedPageBreak/>
        <w:t>2. Подготовка к восприятию основных вопросов темы.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а) Что такое жанр?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Жанр – это род произведений с одинаковыми признаками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б) Задание: угадать жанр произведения.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Звучит магнитофонная запись.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Как молодой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Добрынюшка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Никитинец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Он ходил-гулял по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чисту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полю,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Приезжал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Добрынюшка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 сыру дубу.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Как сидит-то ведь тут на сыром дубу,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Сидит-то ещё сидит </w:t>
      </w: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чёрный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вран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Как тут этот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Добрынюшка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Никитинец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Натягивал скоро свой он тугой лук,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 клал стрелочку калёную,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А хочет он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стрелить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тут чёрна ворона,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Ворон тут ему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спроязычился</w:t>
      </w:r>
      <w:proofErr w:type="spellEnd"/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тем-этим языком человеческим...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Дети определяют жанр: былина.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Демонстрируются иллюстрации художника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Лукьянца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3. Основные вопросы темы: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традиции фольклора, их жизнь в литературе.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Какие сказки нами больше всего любимы?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Дети отвечают, что волшебные.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Задание: назвать отличительные черты волшебной сказки.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Учитель демонстрирует иллюстративный материал - подсказки в картинках.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Дети называют: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– Чёткое деление героев </w:t>
      </w: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положительных и отрицательных.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– Композиция, всегда состоящая из зачина, завязки и развязки действия, кульминации, развития действия, концовки.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– Чудеса.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– </w:t>
      </w: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Волшебные предметы: сапоги-скороходы, скатерть-самобранка, шапка-невидимка, ковёр-самолёт, волшебная палочка, клубочек, кольцо и так далее.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– Магические числа: 3, 7, 9, 12.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– Волшебные животные, которые всегда помогают положительным героям.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br/>
        <w:t>– Постоянные характеры героев: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а) всегда смекалистый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Иван-дурак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побеждает своих врагов и оказывается умнее своих братьев, становится богатым и женится на царевне;</w:t>
      </w:r>
      <w:proofErr w:type="gramEnd"/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б) всегда прекрасная Василиса или Марья, которая часто бывает дочерью Кощея или глупого и жадного царя, представляет собою идеал девушки: нежная, ласковая, вышивает, танцует, все её любят;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в) Кощей во всех сказках злой, жадный, богатый, бессмертный, не имеет друзей, всех старается обмануть и победить обманом;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lastRenderedPageBreak/>
        <w:t>г) Баба-Яга – хитрая, ест людей, живёт в избушке на курьих ножках, у неё нет друзей, она помогает тем, кому выгодно, поэтому иногда подсказывает и Ивану, часто открывает тайны Кощея;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) традиционны в сказках зачины и концовки: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shd w:val="clear" w:color="auto" w:fill="FFFFFF"/>
          <w:lang w:eastAsia="ru-RU"/>
        </w:rPr>
        <w:t>в тридевятом царстве... Жили-были... И я там был, брагу пил, по усам текло, а в рот не попало...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и так далее;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е) традиционны постоянные эпитеты: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лазоревы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цветочки,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красна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девица,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добрый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молодец; традиционны гиперболы:</w:t>
      </w:r>
      <w:r w:rsidRPr="00C42049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 xml:space="preserve">от посвиста </w:t>
      </w:r>
      <w:proofErr w:type="spellStart"/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соловьего</w:t>
      </w:r>
      <w:proofErr w:type="spellEnd"/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 xml:space="preserve"> тёмны </w:t>
      </w:r>
      <w:proofErr w:type="spellStart"/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лесушки</w:t>
      </w:r>
      <w:proofErr w:type="spellEnd"/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 xml:space="preserve"> к земле </w:t>
      </w:r>
      <w:proofErr w:type="spellStart"/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приклонилися</w:t>
      </w:r>
      <w:proofErr w:type="spellEnd"/>
      <w:r w:rsidRPr="00C42049">
        <w:rPr>
          <w:rFonts w:ascii="Arial CYR" w:eastAsia="Times New Roman" w:hAnsi="Arial CYR" w:cs="Arial CYR"/>
          <w:b/>
          <w:bCs/>
          <w:i/>
          <w:iCs/>
          <w:color w:val="6F3F01"/>
          <w:sz w:val="20"/>
          <w:szCs w:val="20"/>
          <w:lang w:eastAsia="ru-RU"/>
        </w:rPr>
        <w:t>...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Задание: записать название элементов композиции сказки (ученик у доски).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44570" cy="1247140"/>
            <wp:effectExtent l="19050" t="0" r="0" b="0"/>
            <wp:docPr id="2" name="Рисунок 2" descr="http://lit.1september.ru/1999/03/no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.1september.ru/1999/03/no3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Назовите поэта, чьё имя до самой глубины связано с фольклором.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Демонстрируются слайды.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А.С. ПУШКИН. Гравюра выполнена по заказу Антона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Дельвига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Слово учителя.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А.С. Пушкин в своём творчестве использовал не только русский фольклор, но и традиции зарубежного фольклора, в частности, античного. В творчестве Пушкина мы находим традиции и античных поэтов – Гомера, Данте, Петрарки.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ГОМЕР. Древнегреческий певец, автор произведений «Илиада» и «Одиссея». С именем Гомера связаны стихи А.С. Пушкина «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Гнедичу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 и «На перевод Илиады».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ДАНТЕ АЛИГЬЕРИ. Гравюра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Марлиони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Данте – итальянский поэт, автор «Божественной комедии». Пушкин посвятил ему стихи «Зори бьют», «Сонет».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ОВИДИЙ НАЗОН. Римский поэт. Автор лирических и философских элегий и поэм («Любовные элегии», «Метаморфозы» и другие). Был сослан императором Августом на побережье Чёрного моря. Овидий упоминается Пушкиным во многих юношеских стихотворениях («К Батюшкову», «Сон»). В уста старика цыгана (поэма «Цыганы») Пушкин вложил легенду о сосланном Овидии.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4. Повторение и обобщение.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а) Мы видели образцы мировой художественной культуры, созданные пером, кистью, резцом. Невероятно высоки и недосягаемы они для нас. Однако в школе мы изучаем некоторые художественные приёмы и учимся ими овладевать.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Задание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Наугад достать из конверта, заполненного в начале урока, одно олицетворение, прочитать его и устно развить до сказочного сюжета.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Ответы детей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Старый шкаф охал, вспоминая свою молодость...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 комнате стоял старый шкаф. Как-то раз в доме появилась новая тумбочка. Тумбочка всё время дразнила шкаф, потому что он был старый. Старый шкаф охал, вспоминая свою молодость: тогда в него клали всё, а теперь ничего. Но через некоторое время из тумбочки вынули всё и положили в шкаф. Он был счастлив, а в тумбочке стояли только несколько книг, и на ней – настольная лампа.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lastRenderedPageBreak/>
        <w:t>Белов П., 5 “А”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О чём размышляла исписанная парта?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Злой мальчик всё время на уроке математики рисовал на парте. Парта стала думать, как проучить мальчишку. Она думала-думала и придумала.</w:t>
      </w:r>
    </w:p>
    <w:p w:rsidR="00C42049" w:rsidRPr="00C42049" w:rsidRDefault="00C42049" w:rsidP="00C42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Начался урок математики. Мальчик сел за парту и начал рисовать. Вдруг ему послышался голос чей-то: “Зачем ты на мне рисуешь?” Тут мальчик понял, что это сказала парта. И он перестал рисовать...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Таубен</w:t>
      </w:r>
      <w:proofErr w:type="spellEnd"/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К., 5 “А”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б) Олицетворение, сравнение, эпитет – это изобразительные средства языка, или тропы поэтической речи. Давайте ещё раз вспомним их – чтение 1-го и 3-го абзацев </w:t>
      </w: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с. 83 </w:t>
      </w: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учебника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статья «Тропы поэтической речи».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в) Какие тропы не назвали?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Открывается запись под экраном: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антитеза,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инверсия,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литота,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– градация.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Задание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Выборочно объяснить значение некоторых терминов.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г)  Какие знаете стили речи, и какому из них присуще использование художественно-изобразительных средств языка?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 мере ответов детей на стенде открывается таблица «Стили речи».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31210" cy="949960"/>
            <wp:effectExtent l="19050" t="0" r="2540" b="0"/>
            <wp:docPr id="3" name="Рисунок 3" descr="http://lit.1september.ru/1999/03/no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.1september.ru/1999/03/no3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Художественному стилю в большей степени присущи изобразительные средства языка.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Какие виды искусства знаете? </w:t>
      </w: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Какой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объединяет все другие?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Музыка, живопись, танец, балет, литература, скульптура, архитектура, опера, вокал, прикладные искусства и так далее.</w:t>
      </w:r>
      <w:proofErr w:type="gramEnd"/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Все они присутствуют в искусстве театра.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Какая эпоха породила театр? Что ставили и смотрели?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Театр возник в античности, ставили только религиозные произведения, играли только мужчины в грустных и весёлых масках.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Что было характерно для русского народного театра?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Он был кукольным, каждый актёр играл несколько ролей, один из героев – Петрушка, высмеивались недостатки, смеялись над богатыми и так далее.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Мизансценирование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Использование народной пьесы «Озорник Петрушка».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Действующие лица: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Петрушка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Капрал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Султан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Доктор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Старуха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Чертёнок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Вопрос</w:t>
      </w:r>
      <w:proofErr w:type="gram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: какие характеры создали ребята?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5. Закрепление.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а) Вопрос: все ли мы любим искусство? Оказывается, не всегда.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б) Чтение по ролям – с. 85, Вильгельм </w:t>
      </w:r>
      <w:proofErr w:type="spellStart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Гауф</w:t>
      </w:r>
      <w:proofErr w:type="spellEnd"/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«В защиту сказки» (со второго абзаца до слов: “Верьте мне, я не заблуждаюсь, – возразила сказка. – Все меня разлюбили”.</w:t>
      </w:r>
    </w:p>
    <w:p w:rsidR="00C42049" w:rsidRPr="00C42049" w:rsidRDefault="00C42049" w:rsidP="00C4204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Действующие лица: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Автор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Сказка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Фантазия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6. Домашнее задание.</w:t>
      </w:r>
      <w:r w:rsidRPr="00C42049">
        <w:rPr>
          <w:rFonts w:ascii="Arial CYR" w:eastAsia="Times New Roman" w:hAnsi="Arial CYR" w:cs="Arial CYR"/>
          <w:b/>
          <w:bCs/>
          <w:color w:val="6F3F01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Что было дальше, вы узнаете, прочитав до конца сказку (с. 85–88).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b/>
          <w:bCs/>
          <w:color w:val="6F3F01"/>
          <w:sz w:val="20"/>
          <w:szCs w:val="20"/>
          <w:lang w:eastAsia="ru-RU"/>
        </w:rPr>
        <w:t>7. Итог урока.</w:t>
      </w:r>
      <w:r w:rsidRPr="00C42049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C4204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Как же защищает себя сказка и другие жанры фольклора?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Сказки интересны сюжетом, композицией, их чудесные образы создаются с помощью художественных приёмов, то есть сказка защищает себя теми изобразительными средствами, о которых мы сегодня говорили.</w:t>
      </w:r>
    </w:p>
    <w:p w:rsidR="00C42049" w:rsidRPr="00C42049" w:rsidRDefault="00C42049" w:rsidP="00C42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Публикация статьи произведена при поддержке сайта «</w:t>
      </w:r>
      <w:proofErr w:type="spellStart"/>
      <w:r w:rsidRPr="00C42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Мультфильм-онлайн</w:t>
      </w:r>
      <w:proofErr w:type="spellEnd"/>
      <w:r w:rsidRPr="00C42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позволяющего бесплатно и без регистрации смотреть в хорошем качестве творения всех жанров отечественной и зарубежной мультипликации. Особенное внимание стоит уделить современному российскому мультсериалу, главными персонажами которого является маленькая девочка Маша и большой медведь с цирковым прошлым. Сериал так и называется</w:t>
      </w:r>
      <w:r w:rsidRPr="00C4204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7" w:tooltip="маша и медведь новые серии" w:history="1">
        <w:r w:rsidRPr="00C42049">
          <w:rPr>
            <w:rFonts w:ascii="Verdana" w:eastAsia="Times New Roman" w:hAnsi="Verdana" w:cs="Times New Roman"/>
            <w:color w:val="6F3F01"/>
            <w:sz w:val="20"/>
            <w:u w:val="single"/>
            <w:lang w:eastAsia="ru-RU"/>
          </w:rPr>
          <w:t>«Маша и медведь», новые серии</w:t>
        </w:r>
      </w:hyperlink>
      <w:r w:rsidRPr="00C4204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42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 регулярно пополняют коллекцию мультфильмов на сайте. «Маша и медведь» – это увлекательные мультики, которые нравятся и взрослым и детям.</w:t>
      </w:r>
    </w:p>
    <w:p w:rsidR="008C50FE" w:rsidRDefault="008C50FE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2049"/>
    <w:rsid w:val="006A5D86"/>
    <w:rsid w:val="008C50FE"/>
    <w:rsid w:val="00C42049"/>
    <w:rsid w:val="00E6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C4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2049"/>
  </w:style>
  <w:style w:type="character" w:styleId="a3">
    <w:name w:val="Strong"/>
    <w:basedOn w:val="a0"/>
    <w:uiPriority w:val="22"/>
    <w:qFormat/>
    <w:rsid w:val="00C4204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C420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420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2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74">
          <w:marLeft w:val="94"/>
          <w:marRight w:val="94"/>
          <w:marTop w:val="94"/>
          <w:marBottom w:val="94"/>
          <w:divBdr>
            <w:top w:val="single" w:sz="4" w:space="5" w:color="3300FF"/>
            <w:left w:val="single" w:sz="4" w:space="5" w:color="3300FF"/>
            <w:bottom w:val="single" w:sz="4" w:space="5" w:color="3300FF"/>
            <w:right w:val="single" w:sz="4" w:space="5" w:color="33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ltfilm-online.com/serials/masha-i-medv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7480</Characters>
  <Application>Microsoft Office Word</Application>
  <DocSecurity>0</DocSecurity>
  <Lines>62</Lines>
  <Paragraphs>17</Paragraphs>
  <ScaleCrop>false</ScaleCrop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2015-07-25T16:53:00Z</dcterms:created>
  <dcterms:modified xsi:type="dcterms:W3CDTF">2015-07-25T16:54:00Z</dcterms:modified>
</cp:coreProperties>
</file>